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eastAsia" w:ascii="Calibri" w:hAnsi="Calibri" w:eastAsia="宋体" w:cs="黑体"/>
          <w:kern w:val="2"/>
          <w:sz w:val="21"/>
          <w:szCs w:val="24"/>
          <w:lang w:val="en-US" w:eastAsia="zh-CN" w:bidi="ar-SA"/>
        </w:rPr>
      </w:pPr>
      <w:r>
        <w:rPr>
          <w:rFonts w:hint="eastAsia" w:ascii="Calibri" w:hAnsi="Calibri" w:eastAsia="宋体" w:cs="黑体"/>
          <w:kern w:val="2"/>
          <w:sz w:val="21"/>
          <w:szCs w:val="24"/>
          <w:lang w:val="en-US" w:eastAsia="zh-CN" w:bidi="ar-SA"/>
        </w:rPr>
        <w:pict>
          <v:shape id="图片 1" o:spid="_x0000_s1028" type="#_x0000_t75" style="position:absolute;left:0;margin-left:-86.4pt;margin-top:-71.1pt;height:324.9pt;width:596.75pt;rotation:0f;z-index:-251658240;" o:ole="f" fillcolor="#FFFFFF" filled="f" o:preferrelative="t" stroked="f" coordorigin="0,0" coordsize="21600,21600">
            <v:fill on="f" color2="#FFFFFF" focus="0%"/>
            <v:imagedata cropbottom="40305f" gain="65536f" blacklevel="0f" gamma="0" o:title="" r:id="rId7"/>
            <o:lock v:ext="edit" position="f" selection="f" grouping="f" rotation="f" cropping="f" text="f" aspectratio="t"/>
          </v:shape>
        </w:pict>
      </w: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rPr>
          <w:rFonts w:hint="eastAsia" w:ascii="Calibri" w:hAnsi="Calibri" w:eastAsia="宋体" w:cs="黑体"/>
          <w:kern w:val="2"/>
          <w:sz w:val="21"/>
          <w:szCs w:val="24"/>
          <w:lang w:val="en-US" w:eastAsia="zh-CN" w:bidi="ar-SA"/>
        </w:rPr>
      </w:pPr>
    </w:p>
    <w:p>
      <w:pPr>
        <w:pBdr>
          <w:top w:val="none" w:color="auto" w:sz="0" w:space="0"/>
          <w:left w:val="none" w:color="auto" w:sz="0" w:space="0"/>
          <w:bottom w:val="none" w:color="auto" w:sz="0" w:space="0"/>
          <w:right w:val="none" w:color="auto" w:sz="0" w:space="0"/>
          <w:between w:val="none" w:color="auto" w:sz="0" w:space="0"/>
        </w:pBdr>
        <w:spacing w:line="520" w:lineRule="exact"/>
        <w:jc w:val="center"/>
        <w:rPr>
          <w:rFonts w:hint="eastAsia" w:ascii="仿宋_GB2312" w:eastAsia="仿宋_GB2312"/>
          <w:sz w:val="36"/>
          <w:szCs w:val="36"/>
        </w:rPr>
      </w:pPr>
      <w:bookmarkStart w:id="0" w:name="_GoBack"/>
      <w:r>
        <w:rPr>
          <w:rFonts w:hint="eastAsia" w:ascii="仿宋_GB2312" w:eastAsia="仿宋_GB2312"/>
          <w:sz w:val="36"/>
          <w:szCs w:val="36"/>
        </w:rPr>
        <w:t>荔教进〔20</w:t>
      </w:r>
      <w:r>
        <w:rPr>
          <w:rFonts w:hint="eastAsia" w:ascii="仿宋_GB2312" w:eastAsia="仿宋_GB2312"/>
          <w:sz w:val="36"/>
          <w:szCs w:val="36"/>
          <w:lang w:val="en-US" w:eastAsia="zh-CN"/>
        </w:rPr>
        <w:t>22</w:t>
      </w:r>
      <w:r>
        <w:rPr>
          <w:rFonts w:hint="eastAsia" w:ascii="仿宋_GB2312" w:eastAsia="仿宋_GB2312"/>
          <w:sz w:val="36"/>
          <w:szCs w:val="36"/>
        </w:rPr>
        <w:t>〕</w:t>
      </w:r>
      <w:r>
        <w:rPr>
          <w:rFonts w:hint="eastAsia" w:ascii="仿宋_GB2312" w:eastAsia="仿宋_GB2312"/>
          <w:sz w:val="36"/>
          <w:szCs w:val="36"/>
          <w:lang w:val="en-US" w:eastAsia="zh-CN"/>
        </w:rPr>
        <w:t>52</w:t>
      </w:r>
      <w:r>
        <w:rPr>
          <w:rFonts w:hint="eastAsia" w:ascii="仿宋_GB2312" w:eastAsia="仿宋_GB2312"/>
          <w:sz w:val="36"/>
          <w:szCs w:val="36"/>
        </w:rPr>
        <w:t>号</w:t>
      </w:r>
    </w:p>
    <w:bookmarkEnd w:id="0"/>
    <w:p>
      <w:pPr>
        <w:rPr>
          <w:rFonts w:hint="eastAsia" w:ascii="Calibri" w:hAnsi="Calibri" w:eastAsia="宋体" w:cs="黑体"/>
          <w:kern w:val="2"/>
          <w:sz w:val="21"/>
          <w:szCs w:val="24"/>
          <w:lang w:val="en-US" w:eastAsia="zh-CN" w:bidi="ar-SA"/>
        </w:rPr>
      </w:pPr>
    </w:p>
    <w:p>
      <w:pPr>
        <w:rPr>
          <w:rFonts w:hint="eastAsia" w:cs="黑体"/>
          <w:kern w:val="2"/>
          <w:sz w:val="21"/>
          <w:szCs w:val="24"/>
          <w:lang w:val="en-US" w:eastAsia="zh-CN" w:bidi="ar-SA"/>
        </w:rPr>
      </w:pPr>
      <w:r>
        <w:rPr>
          <w:rFonts w:hint="eastAsia" w:cs="黑体"/>
          <w:kern w:val="2"/>
          <w:sz w:val="21"/>
          <w:szCs w:val="24"/>
          <w:lang w:val="en-US" w:eastAsia="zh-CN" w:bidi="ar-SA"/>
        </w:rPr>
        <w:t xml:space="preserve">   </w:t>
      </w:r>
    </w:p>
    <w:p>
      <w:pPr>
        <w:rPr>
          <w:rFonts w:hint="eastAsia" w:ascii="Calibri" w:hAnsi="Calibri" w:eastAsia="宋体" w:cs="黑体"/>
          <w:kern w:val="2"/>
          <w:sz w:val="21"/>
          <w:szCs w:val="24"/>
          <w:lang w:val="en-US" w:eastAsia="zh-CN" w:bidi="ar-SA"/>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pPr>
      <w:r>
        <w:rPr>
          <w:rFonts w:hint="eastAsia" w:ascii="方正小标宋简体" w:hAnsi="方正小标宋简体" w:eastAsia="方正小标宋简体" w:cs="方正小标宋简体"/>
          <w:b w:val="0"/>
          <w:bCs w:val="0"/>
          <w:color w:val="000000"/>
          <w:sz w:val="44"/>
          <w:szCs w:val="44"/>
          <w:lang w:eastAsia="zh-CN"/>
        </w:rPr>
        <w:t>关于设立</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荔城区</w:t>
      </w:r>
      <w:r>
        <w:rPr>
          <w:rFonts w:hint="eastAsia" w:ascii="方正小标宋简体" w:hAnsi="方正小标宋简体" w:eastAsia="方正小标宋简体" w:cs="方正小标宋简体"/>
          <w:b w:val="0"/>
          <w:bCs w:val="0"/>
          <w:color w:val="000000"/>
          <w:sz w:val="44"/>
          <w:szCs w:val="44"/>
          <w:lang w:eastAsia="zh-CN"/>
        </w:rPr>
        <w:t>第一批</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基础教育学科</w:t>
      </w: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rPr>
        <w:t>教学研究基地校的</w:t>
      </w:r>
      <w:r>
        <w:rPr>
          <w:rFonts w:hint="eastAsia" w:ascii="方正小标宋简体" w:hAnsi="方正小标宋简体" w:eastAsia="方正小标宋简体" w:cs="方正小标宋简体"/>
          <w:b w:val="0"/>
          <w:bCs w:val="0"/>
          <w:color w:val="000000"/>
          <w:sz w:val="44"/>
          <w:szCs w:val="44"/>
          <w:lang w:eastAsia="zh-CN"/>
        </w:rPr>
        <w:t>通知</w:t>
      </w:r>
    </w:p>
    <w:p>
      <w:pPr>
        <w:widowControl w:val="0"/>
        <w:wordWrap/>
        <w:adjustRightInd w:val="0"/>
        <w:snapToGrid w:val="0"/>
        <w:spacing w:before="0" w:after="0" w:line="560" w:lineRule="exact"/>
        <w:ind w:left="0" w:leftChars="0" w:right="0"/>
        <w:textAlignment w:val="auto"/>
        <w:outlineLvl w:val="9"/>
        <w:rPr>
          <w:rFonts w:hint="eastAsia" w:ascii="仿宋_GB2312" w:hAnsi="仿宋_GB2312" w:eastAsia="仿宋_GB2312" w:cs="仿宋_GB2312"/>
          <w:sz w:val="34"/>
          <w:szCs w:val="34"/>
        </w:rPr>
      </w:pPr>
    </w:p>
    <w:p>
      <w:pPr>
        <w:widowControl w:val="0"/>
        <w:wordWrap/>
        <w:adjustRightInd w:val="0"/>
        <w:snapToGrid w:val="0"/>
        <w:spacing w:before="0" w:after="0" w:line="560" w:lineRule="exact"/>
        <w:ind w:left="0" w:leftChars="0" w:right="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各中小学：</w:t>
      </w:r>
    </w:p>
    <w:p>
      <w:pPr>
        <w:widowControl w:val="0"/>
        <w:wordWrap/>
        <w:adjustRightInd w:val="0"/>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color w:val="auto"/>
          <w:kern w:val="2"/>
          <w:sz w:val="34"/>
          <w:szCs w:val="34"/>
          <w:lang w:val="en-US" w:eastAsia="zh-CN" w:bidi="ar-SA"/>
        </w:rPr>
        <w:t>为贯彻落实《教育部关于加强和改进新时代基础教育教研工作的意见》《福建省教育厅、福建省人力资源和社会保障厅、福建省财政厅关于加强和改进新时代基础教育教研工作的实施意见》以及</w:t>
      </w:r>
      <w:r>
        <w:rPr>
          <w:rFonts w:hint="eastAsia" w:ascii="仿宋_GB2312" w:hAnsi="仿宋_GB2312" w:eastAsia="仿宋_GB2312" w:cs="仿宋_GB2312"/>
          <w:color w:val="auto"/>
          <w:kern w:val="2"/>
          <w:sz w:val="34"/>
          <w:szCs w:val="34"/>
          <w:u w:val="none"/>
          <w:lang w:val="en-US" w:eastAsia="zh-CN" w:bidi="ar-SA"/>
        </w:rPr>
        <w:t>《莆田市荔城区人民政府关于印发&lt;荔城区全面推进教育提质提升工程加快实现教育强区三年行动方案（2021-2023）&gt;》（荔政综[2021]89号）等文件精神</w:t>
      </w:r>
      <w:r>
        <w:rPr>
          <w:rFonts w:hint="eastAsia" w:ascii="仿宋_GB2312" w:hAnsi="仿宋_GB2312" w:eastAsia="仿宋_GB2312" w:cs="仿宋_GB2312"/>
          <w:color w:val="auto"/>
          <w:kern w:val="2"/>
          <w:sz w:val="34"/>
          <w:szCs w:val="34"/>
          <w:lang w:val="en-US" w:eastAsia="zh-CN" w:bidi="ar-SA"/>
        </w:rPr>
        <w:t>，围绕建设教育强区总体目标，充分发挥教科研引领辐射作用，着力构建高质量教育体系，经研究，</w:t>
      </w:r>
      <w:r>
        <w:rPr>
          <w:rFonts w:hint="eastAsia" w:ascii="仿宋_GB2312" w:hAnsi="仿宋_GB2312" w:eastAsia="仿宋_GB2312" w:cs="仿宋_GB2312"/>
          <w:sz w:val="34"/>
          <w:szCs w:val="34"/>
          <w:lang w:val="en-US" w:eastAsia="zh-CN"/>
        </w:rPr>
        <w:t>决定将部分片区教研牵头校、课改试点校、市级基地校设立为第一批“荔城区</w:t>
      </w:r>
      <w:r>
        <w:rPr>
          <w:rFonts w:hint="eastAsia" w:ascii="仿宋_GB2312" w:hAnsi="仿宋_GB2312" w:eastAsia="仿宋_GB2312" w:cs="仿宋_GB2312"/>
          <w:color w:val="auto"/>
          <w:kern w:val="2"/>
          <w:sz w:val="34"/>
          <w:szCs w:val="34"/>
          <w:lang w:val="en-US" w:eastAsia="zh-CN" w:bidi="ar-SA"/>
        </w:rPr>
        <w:t>基础教育学科教学研究基地学校”（以下简称学科基地校）</w:t>
      </w:r>
      <w:r>
        <w:rPr>
          <w:rFonts w:hint="eastAsia" w:ascii="仿宋_GB2312" w:hAnsi="仿宋_GB2312" w:eastAsia="仿宋_GB2312" w:cs="仿宋_GB2312"/>
          <w:sz w:val="34"/>
          <w:szCs w:val="34"/>
          <w:lang w:val="en-US" w:eastAsia="zh-CN"/>
        </w:rPr>
        <w:t>，具体名单见附件1，现将有关事项通知如下：</w:t>
      </w:r>
    </w:p>
    <w:p>
      <w:pPr>
        <w:widowControl w:val="0"/>
        <w:wordWrap/>
        <w:adjustRightInd w:val="0"/>
        <w:snapToGrid w:val="0"/>
        <w:spacing w:before="0" w:after="0" w:line="560" w:lineRule="exact"/>
        <w:ind w:left="0" w:leftChars="0" w:right="0" w:firstLine="64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一、指导思想</w:t>
      </w:r>
    </w:p>
    <w:p>
      <w:pPr>
        <w:widowControl w:val="0"/>
        <w:wordWrap/>
        <w:adjustRightInd w:val="0"/>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以党十九大及全国教育大会精神为指导，以落实“立德树人”“全面育人”为根本任务，以“研训强师兴教优学”为基本指向，积极搭平台、创载体、建基地，优三风、强素质、育良师，抓改革、转方式、提质量，培育区域教科研训高地，探索适合荔城教育的教科研训基地建设经验与特色，并发挥其对区域教学教研教改和教师专业发展示范引领辐射作用，助力教育教学增效提质和“教育强区”持续推进，促进我区教育再上一个新台阶。</w:t>
      </w:r>
    </w:p>
    <w:p>
      <w:pPr>
        <w:widowControl w:val="0"/>
        <w:wordWrap/>
        <w:adjustRightInd w:val="0"/>
        <w:snapToGrid w:val="0"/>
        <w:spacing w:before="0" w:after="0" w:line="560" w:lineRule="exact"/>
        <w:ind w:left="0" w:leftChars="0" w:right="0" w:firstLine="64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二、建设目标</w:t>
      </w:r>
    </w:p>
    <w:p>
      <w:pPr>
        <w:widowControl w:val="0"/>
        <w:wordWrap/>
        <w:adjustRightInd w:val="0"/>
        <w:snapToGrid w:val="0"/>
        <w:spacing w:before="0" w:after="0" w:line="560" w:lineRule="exact"/>
        <w:ind w:left="0" w:leftChars="0" w:right="0" w:firstLine="640" w:firstLineChars="200"/>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以做好新育人、新课程、新课标、新教材、新教学、新评价的研究、培训、实践工作为主要内容，以优秀教研室、教研组创建和优势、品牌学科建设为平台、载体，以优化校本教研、校本培训和强化岗位练兵、专业成才为抓手，通过区教师进修学校与中小学校的共同创建和培育，把基地校打造成全区“教育教学的研究基地”、“教学改革的试验基地”、“教师培训的实践基地”、“名师培养的孵化基地”、“学科骨干教师成长基地”。</w:t>
      </w:r>
    </w:p>
    <w:p>
      <w:pPr>
        <w:widowControl w:val="0"/>
        <w:wordWrap/>
        <w:adjustRightInd w:val="0"/>
        <w:snapToGrid w:val="0"/>
        <w:spacing w:before="0" w:after="0" w:line="560" w:lineRule="exact"/>
        <w:ind w:left="0" w:leftChars="0" w:right="0" w:firstLine="64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三、主要任务</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（一）围绕学校教育问题，开展教育课题研究。</w:t>
      </w:r>
      <w:r>
        <w:rPr>
          <w:rFonts w:hint="eastAsia" w:ascii="仿宋_GB2312" w:hAnsi="仿宋_GB2312" w:eastAsia="仿宋_GB2312" w:cs="仿宋_GB2312"/>
          <w:sz w:val="34"/>
          <w:szCs w:val="34"/>
          <w:lang w:val="en-US" w:eastAsia="zh-CN"/>
        </w:rPr>
        <w:t>强化“教科研强教兴校”意识，坚持“问题就是课题”的教科研导向，紧扣学校教书育人过程中遇到的困难和面临的现实问题，从各职能部门、各学科发展、各岗位工作的实际出发，展开全方位、全领域的校本教研、科研及校际合作攻坚，切实解决一批教育教学问题，逐步培育出一批优秀学科教科研团队和具有较高教科研水平的优势学科，形成一批具有本校特色、可推广可复制的教科研模式与成果。</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（二）围绕课堂教学改革，开展教改试验研究。</w:t>
      </w:r>
      <w:r>
        <w:rPr>
          <w:rFonts w:hint="eastAsia" w:ascii="仿宋_GB2312" w:hAnsi="仿宋_GB2312" w:eastAsia="仿宋_GB2312" w:cs="仿宋_GB2312"/>
          <w:sz w:val="34"/>
          <w:szCs w:val="34"/>
          <w:lang w:val="en-US" w:eastAsia="zh-CN"/>
        </w:rPr>
        <w:t>聚焦课堂教学质量建设主题，关注“增效提质”和“学科育人”核心，切实转变和优化教与学方式，积极探求课程标准引领下的备、教、学、评一体化的教学改革路径，促进学生正确价值观念、必备品格和关键能力形成。坚持教学相长，全面推行启发式、互动式、探究式教学；融合运用传统与现代技术手段，重视情境教学，关注学生学习体验，引导学生热爱学习，帮助学生学会学习；探索基于学科的课程综合化教学，开展研究型、项目化、合作式学习，强化学科整体育人功能；精准分析学情，重视差异化教学和个别化指导。鼓励教师立足课堂大胆试验，拓展内容、创新模式，发展思维、学以致用，落实学科课程育人目标，逐步推广一批优秀教学模式、教学案例。</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（三）围绕教师培训培养，开展教师职业发展研究。</w:t>
      </w:r>
      <w:r>
        <w:rPr>
          <w:rFonts w:hint="eastAsia" w:ascii="仿宋_GB2312" w:hAnsi="仿宋_GB2312" w:eastAsia="仿宋_GB2312" w:cs="仿宋_GB2312"/>
          <w:sz w:val="34"/>
          <w:szCs w:val="34"/>
          <w:lang w:val="en-US" w:eastAsia="zh-CN"/>
        </w:rPr>
        <w:t>把鼓励、支持、促进教师职业发展作为学校可持续发展的根本措施，积极探究教师成长规律，引导教师进行职业生涯、专业发展规划，并分年度、有计划实施；积极探究教师继教、培训模式，根据需求遴选培训师，研发培训课程，收集培训资源，做好培训效果考评，跟进培训内容应用，有效促进教师岗位成长和成为学生的良师益友；积极探究青年教师和骨干教师培训培养路径，发挥学科组、年级组、备课组的帮带作用，健全并落实好名优引领、青蓝结对制度，鼓励支持立足岗位读书研究、自学自强和组建学习研讨共同体，创设和拓展岗位练兵、技能竞赛和专家指引、跟岗锻炼等多样化学习提升机会、平台、载体，逐步形成一批针对性、实效性强，具有区域特色的教师培训培养培育方案和典型经验，培育出一批在区域内具有影响力的学科领衔名师和优秀教学团队。</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（四）围绕核心素养培育，开展育人方式改革研究。</w:t>
      </w:r>
      <w:r>
        <w:rPr>
          <w:rFonts w:hint="eastAsia" w:ascii="仿宋_GB2312" w:hAnsi="仿宋_GB2312" w:eastAsia="仿宋_GB2312" w:cs="仿宋_GB2312"/>
          <w:sz w:val="34"/>
          <w:szCs w:val="34"/>
          <w:lang w:val="en-US" w:eastAsia="zh-CN"/>
        </w:rPr>
        <w:t>以培育时代新人为根本，以发展素质教育为导向，以全面有效实施国家课程方案和课程标准为基础，以促进学生全面而有个性发展的核心，聚焦如何突出德育实效、提升智育水平、强化体育锻炼、增强美育熏陶、加强劳动教育等重点问题，深入开展内容、策略、方法、机制研究，构建德智体美劳全面培养的教育体系，将立德树人、五育并举、全面发展、健康成长的要求有机融入育人全过程。聚焦课程、教学、作业和考试评价等教书育人关键环节，积极探求建构基于育人、富有特色的学校课程体系和科学评价体系，不断创新教学组织形式、教育教学方式和作业设计、调控机制，探索推进考试评价内容与方式改革，强化课程综合育人作用，优化育人体系架构，培育良好学习生态，变革传统教学模式，拓展学生学习时空，丰富校园学习生活，满足学生多样化发展需求，增强学生综合素质，引领学生完整生命的舒展与生长。</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（五）围绕新时代新要求，开展研训机制创新研究。</w:t>
      </w:r>
      <w:r>
        <w:rPr>
          <w:rFonts w:hint="eastAsia" w:ascii="仿宋_GB2312" w:hAnsi="仿宋_GB2312" w:eastAsia="仿宋_GB2312" w:cs="仿宋_GB2312"/>
          <w:sz w:val="34"/>
          <w:szCs w:val="34"/>
          <w:lang w:val="en-US" w:eastAsia="zh-CN"/>
        </w:rPr>
        <w:t>深入学习研讨、深刻领会把握《关于深化教育体制机制改革的意见》《深化新时代教育评价改革总体方案》《关于深化教育教学改革全面提高义务教育质量的意见》《关于新时代推进普通高中育人方式改革的指导意见》《关于加强新时代基础教育教研工作的意见》等文件精神实质，切实加强和改进优化校本教科研训工作。立足学校实际，以实施新课程新教材、探索新方法新技术、提高教师专业能力为重点，在研究学生学习、改进教学方法、优化作业设计、解决教学问题、指导家庭教育等方面开展经常性教研、科研、培训活动，积极破解教书育人过程中遇到的热点、焦点、难点问题。创新研训工作方式，根据不同学科、不同学段、不同教师的实际情况，因地制宜地开展形式多样、扎实有效的研训活动，积极探索信息技术背景下的研训模式改革，提升研训工作的针对性、有效性和吸引力、创造力。充分发挥基地校的示范、引领、辐射和带动作用，建立健全片区内外校际教科研课题合作攻坚和与乡村学校、薄弱学校结对帮扶定期开展教科研训活动机制，助推我县教科研训工作与时偕行、守正出新、优质发展。</w:t>
      </w:r>
    </w:p>
    <w:p>
      <w:pPr>
        <w:widowControl w:val="0"/>
        <w:wordWrap/>
        <w:adjustRightInd w:val="0"/>
        <w:snapToGrid w:val="0"/>
        <w:spacing w:before="0" w:after="0" w:line="560" w:lineRule="exact"/>
        <w:ind w:left="0" w:leftChars="0" w:right="0" w:firstLine="640" w:firstLineChars="200"/>
        <w:textAlignment w:val="auto"/>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四、工作要求</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（一）充分认识建设意义。</w:t>
      </w:r>
      <w:r>
        <w:rPr>
          <w:rFonts w:hint="eastAsia" w:ascii="仿宋_GB2312" w:hAnsi="仿宋_GB2312" w:eastAsia="仿宋_GB2312" w:cs="仿宋_GB2312"/>
          <w:sz w:val="34"/>
          <w:szCs w:val="34"/>
          <w:lang w:val="en-US" w:eastAsia="zh-CN"/>
        </w:rPr>
        <w:t>遴选、建设区级教科研训基地校，是新时期加强教育基础研究和教师队伍建设，推进全区基础教育改革发展，深入实施素质教育，持续推动教育质量提升和“教育强区”建设的重要措施。各基地校要切实提高对创建意义的认识，树立作为全区首批基地校的荣誉感和责任感、使命感，并以此为契机，内强素质、外树形象，努力争创区域教科研训工作特色，带动学校高品质、高质量发展超越。</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（二）全面落实建设任务。</w:t>
      </w:r>
      <w:r>
        <w:rPr>
          <w:rFonts w:hint="eastAsia" w:ascii="仿宋_GB2312" w:hAnsi="仿宋_GB2312" w:eastAsia="仿宋_GB2312" w:cs="仿宋_GB2312"/>
          <w:sz w:val="34"/>
          <w:szCs w:val="34"/>
          <w:lang w:val="en-US" w:eastAsia="zh-CN"/>
        </w:rPr>
        <w:t>各基地校要成立基地校建设组织管理机构，研究制定建设规划和具体实施措施。要广泛发动全体师生，积极调动各部门、各岗位人员的工作积极性、创造性，共同参与基地校建设。要紧扣基地校建设“五大任务”，立足本校实际创造性推动教科研训工作改革创新，并努力在培育优势学科、培养名优教师、改革教学模式、健全全面培养体系、转变育人方式和创建研训特色、示范引领带动等方面取得实质性突破与成效，实现创成“五个基地”的建设目标。要确立品质、品牌意识，高标准、高质量落实好基地校建设各项目标任务要求，并发挥好对示范、引领、辐射、带动作用。要做好宣传工作，加强建设过程的活动情况和经验做法的及时小结、报道，营造良好的创建氛围。</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（三）优胜劣汰动态管理。</w:t>
      </w:r>
      <w:r>
        <w:rPr>
          <w:rFonts w:hint="eastAsia" w:ascii="仿宋_GB2312" w:hAnsi="仿宋_GB2312" w:eastAsia="仿宋_GB2312" w:cs="仿宋_GB2312"/>
          <w:sz w:val="34"/>
          <w:szCs w:val="34"/>
          <w:lang w:val="en-US" w:eastAsia="zh-CN"/>
        </w:rPr>
        <w:t>基地校建设实行任期制，每届三年，动态管理，形成“能上能下、优胜劣汰”的建设与管理机制。中期考评一次，动态调整，未能有效推进建设任务的，取消基地校称号并摘牌；任期届满后，全面考评并重新组织申报，未能认真组织实施、建设成效差的，取消重新申报资格。首批未入选的学校，每年5月份可向区教师进修学校申报（申报学校需提交材料包括：申请报告、对照基地校建设考评标准填写的分项自评表、对照基地校建设目标任务要求所拟制的三年创建规划）；坚持“好中选优、宁缺毋滥”原则评估遴选，五年内全区新增学科教科研训基地校不超过30所。区教师进修学校负责全区教科研训基地校建设的整体规划、业务指导和督查考评管理，在教科研活动、培训项目安排、教师进修学习、专家引进指导等方面对基地校给予优先支持。对教科研训工作改革创新成效卓著的基地校，将报请县教育行政部门予以表彰。</w:t>
      </w:r>
    </w:p>
    <w:p>
      <w:pPr>
        <w:widowControl w:val="0"/>
        <w:wordWrap/>
        <w:adjustRightInd w:val="0"/>
        <w:snapToGrid w:val="0"/>
        <w:spacing w:before="0" w:after="0" w:line="560" w:lineRule="exact"/>
        <w:ind w:left="0" w:leftChars="0" w:right="0" w:firstLine="643" w:firstLineChars="200"/>
        <w:textAlignment w:val="auto"/>
        <w:outlineLvl w:val="9"/>
        <w:rPr>
          <w:rFonts w:hint="eastAsia" w:ascii="仿宋_GB2312" w:hAnsi="仿宋_GB2312" w:eastAsia="仿宋_GB2312" w:cs="仿宋_GB2312"/>
          <w:sz w:val="34"/>
          <w:szCs w:val="34"/>
          <w:lang w:val="en-US" w:eastAsia="zh-CN"/>
        </w:rPr>
      </w:pPr>
    </w:p>
    <w:p>
      <w:pPr>
        <w:widowControl w:val="0"/>
        <w:wordWrap/>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附件：1.荔</w:t>
      </w:r>
      <w:r>
        <w:rPr>
          <w:rFonts w:hint="eastAsia" w:ascii="仿宋_GB2312" w:hAnsi="仿宋_GB2312" w:eastAsia="仿宋_GB2312" w:cs="仿宋_GB2312"/>
          <w:spacing w:val="-9"/>
          <w:sz w:val="34"/>
          <w:szCs w:val="34"/>
          <w:lang w:val="en-US" w:eastAsia="zh-CN"/>
        </w:rPr>
        <w:t>城区基础教育学科教学研究基地学校名</w:t>
      </w:r>
      <w:r>
        <w:rPr>
          <w:rFonts w:hint="eastAsia" w:ascii="仿宋_GB2312" w:hAnsi="仿宋_GB2312" w:eastAsia="仿宋_GB2312" w:cs="仿宋_GB2312"/>
          <w:sz w:val="34"/>
          <w:szCs w:val="34"/>
          <w:lang w:val="en-US" w:eastAsia="zh-CN"/>
        </w:rPr>
        <w:t>单</w:t>
      </w:r>
    </w:p>
    <w:p>
      <w:pPr>
        <w:widowControl w:val="0"/>
        <w:wordWrap/>
        <w:spacing w:before="0" w:after="0" w:line="560" w:lineRule="exact"/>
        <w:ind w:left="0" w:leftChars="0" w:right="0"/>
        <w:jc w:val="center"/>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2.荔城区基础教育学科教学研究基地学校考</w:t>
      </w:r>
    </w:p>
    <w:p>
      <w:pPr>
        <w:widowControl w:val="0"/>
        <w:wordWrap/>
        <w:spacing w:before="0" w:after="0" w:line="560" w:lineRule="exact"/>
        <w:ind w:left="0" w:leftChars="0" w:right="0"/>
        <w:jc w:val="both"/>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评标准（试行）                      </w:t>
      </w:r>
    </w:p>
    <w:p>
      <w:pPr>
        <w:widowControl w:val="0"/>
        <w:wordWrap/>
        <w:adjustRightInd w:val="0"/>
        <w:snapToGrid w:val="0"/>
        <w:spacing w:before="0" w:after="0" w:line="560" w:lineRule="exact"/>
        <w:ind w:left="0" w:leftChars="0" w:right="0" w:firstLine="640" w:firstLineChars="200"/>
        <w:jc w:val="right"/>
        <w:textAlignment w:val="auto"/>
        <w:outlineLvl w:val="9"/>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w:t>
      </w:r>
    </w:p>
    <w:p>
      <w:pPr>
        <w:widowControl w:val="0"/>
        <w:wordWrap/>
        <w:adjustRightInd w:val="0"/>
        <w:snapToGrid w:val="0"/>
        <w:spacing w:before="0" w:after="0" w:line="560" w:lineRule="exact"/>
        <w:ind w:left="0" w:leftChars="0" w:right="0" w:firstLine="640" w:firstLineChars="200"/>
        <w:jc w:val="center"/>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荔城区</w:t>
      </w:r>
      <w:r>
        <w:rPr>
          <w:rFonts w:hint="eastAsia" w:ascii="仿宋_GB2312" w:hAnsi="仿宋_GB2312" w:eastAsia="仿宋_GB2312" w:cs="仿宋_GB2312"/>
          <w:sz w:val="34"/>
          <w:szCs w:val="34"/>
        </w:rPr>
        <w:t>教师进修学校</w:t>
      </w:r>
    </w:p>
    <w:p>
      <w:pPr>
        <w:widowControl w:val="0"/>
        <w:wordWrap/>
        <w:adjustRightInd w:val="0"/>
        <w:snapToGrid w:val="0"/>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               </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20</w:t>
      </w:r>
      <w:r>
        <w:rPr>
          <w:rFonts w:hint="eastAsia" w:ascii="仿宋_GB2312" w:hAnsi="仿宋_GB2312" w:eastAsia="仿宋_GB2312" w:cs="仿宋_GB2312"/>
          <w:sz w:val="34"/>
          <w:szCs w:val="34"/>
          <w:lang w:val="en-US" w:eastAsia="zh-CN"/>
        </w:rPr>
        <w:t>22</w:t>
      </w:r>
      <w:r>
        <w:rPr>
          <w:rFonts w:hint="eastAsia" w:ascii="仿宋_GB2312" w:hAnsi="仿宋_GB2312" w:eastAsia="仿宋_GB2312" w:cs="仿宋_GB2312"/>
          <w:sz w:val="34"/>
          <w:szCs w:val="34"/>
        </w:rPr>
        <w:t>年</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val="en-US" w:eastAsia="zh-CN"/>
        </w:rPr>
        <w:t>18</w:t>
      </w:r>
      <w:r>
        <w:rPr>
          <w:rFonts w:hint="eastAsia" w:ascii="仿宋_GB2312" w:hAnsi="仿宋_GB2312" w:eastAsia="仿宋_GB2312" w:cs="仿宋_GB2312"/>
          <w:sz w:val="34"/>
          <w:szCs w:val="34"/>
        </w:rPr>
        <w:t>日</w:t>
      </w:r>
    </w:p>
    <w:p>
      <w:pPr>
        <w:widowControl w:val="0"/>
        <w:wordWrap/>
        <w:adjustRightInd w:val="0"/>
        <w:snapToGrid w:val="0"/>
        <w:spacing w:before="0" w:after="0" w:line="520" w:lineRule="exact"/>
        <w:ind w:left="0" w:leftChars="0" w:right="0" w:firstLine="640" w:firstLineChars="200"/>
        <w:textAlignment w:val="auto"/>
        <w:outlineLvl w:val="9"/>
        <w:rPr>
          <w:rFonts w:hint="eastAsia"/>
          <w:sz w:val="32"/>
          <w:szCs w:val="32"/>
        </w:rPr>
      </w:pPr>
    </w:p>
    <w:p>
      <w:pPr>
        <w:widowControl w:val="0"/>
        <w:wordWrap/>
        <w:adjustRightInd/>
        <w:snapToGrid/>
        <w:spacing w:before="0" w:after="0" w:line="520" w:lineRule="exact"/>
        <w:ind w:left="0" w:leftChars="0" w:right="0" w:firstLine="0" w:firstLineChars="0"/>
        <w:jc w:val="both"/>
        <w:textAlignment w:val="auto"/>
        <w:outlineLvl w:val="9"/>
        <w:rPr>
          <w:rFonts w:hint="eastAsia" w:ascii="宋体" w:hAnsi="宋体" w:eastAsia="宋体" w:cs="宋体"/>
          <w:sz w:val="32"/>
          <w:szCs w:val="32"/>
          <w:lang w:eastAsia="zh-CN"/>
        </w:rPr>
      </w:pPr>
    </w:p>
    <w:p>
      <w:pPr>
        <w:widowControl w:val="0"/>
        <w:wordWrap/>
        <w:adjustRightInd/>
        <w:snapToGrid/>
        <w:spacing w:before="0" w:after="0" w:line="520" w:lineRule="exact"/>
        <w:ind w:left="0" w:leftChars="0" w:right="0" w:firstLine="0" w:firstLineChars="0"/>
        <w:jc w:val="both"/>
        <w:textAlignment w:val="auto"/>
        <w:outlineLvl w:val="9"/>
        <w:rPr>
          <w:rFonts w:hint="eastAsia" w:ascii="宋体" w:hAnsi="宋体" w:eastAsia="宋体" w:cs="宋体"/>
          <w:sz w:val="32"/>
          <w:szCs w:val="32"/>
          <w:lang w:eastAsia="zh-CN"/>
        </w:rPr>
      </w:pPr>
    </w:p>
    <w:p>
      <w:pPr>
        <w:widowControl w:val="0"/>
        <w:pBdr>
          <w:top w:val="single" w:color="auto" w:sz="4" w:space="1"/>
          <w:bottom w:val="single" w:color="auto" w:sz="4" w:space="1"/>
        </w:pBdr>
        <w:wordWrap/>
        <w:adjustRightInd w:val="0"/>
        <w:snapToGrid w:val="0"/>
        <w:spacing w:before="0" w:after="0" w:line="520" w:lineRule="exact"/>
        <w:ind w:right="0"/>
        <w:textAlignment w:val="auto"/>
        <w:outlineLvl w:val="9"/>
        <w:rPr>
          <w:rFonts w:hint="eastAsia" w:ascii="仿宋_GB2312" w:hAnsi="仿宋_GB2312" w:eastAsia="仿宋_GB2312" w:cs="仿宋_GB2312"/>
          <w:sz w:val="34"/>
          <w:szCs w:val="34"/>
          <w:lang w:val="en-US" w:eastAsia="zh-CN"/>
        </w:rPr>
      </w:pPr>
      <w:r>
        <w:rPr>
          <w:rFonts w:hint="eastAsia" w:ascii="仿宋_GB2312" w:eastAsia="仿宋_GB2312"/>
          <w:spacing w:val="-4"/>
          <w:w w:val="95"/>
          <w:sz w:val="32"/>
          <w:szCs w:val="32"/>
        </w:rPr>
        <w:t xml:space="preserve"> </w:t>
      </w:r>
      <w:r>
        <w:rPr>
          <w:rFonts w:hint="eastAsia" w:ascii="仿宋_GB2312" w:eastAsia="仿宋_GB2312"/>
          <w:spacing w:val="-4"/>
          <w:w w:val="95"/>
          <w:sz w:val="32"/>
          <w:szCs w:val="32"/>
          <w:lang w:val="en-US" w:eastAsia="zh-CN"/>
        </w:rPr>
        <w:t xml:space="preserve"> </w:t>
      </w:r>
      <w:r>
        <w:rPr>
          <w:rFonts w:hint="eastAsia" w:ascii="仿宋_GB2312" w:eastAsia="仿宋_GB2312"/>
          <w:spacing w:val="-4"/>
          <w:w w:val="95"/>
          <w:sz w:val="32"/>
          <w:szCs w:val="32"/>
        </w:rPr>
        <w:t>抄送：区教育局。</w:t>
      </w:r>
    </w:p>
    <w:p>
      <w:pPr>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widowControl w:val="0"/>
        <w:wordWrap/>
        <w:adjustRightInd/>
        <w:snapToGrid/>
        <w:spacing w:before="0" w:after="0" w:line="560" w:lineRule="exact"/>
        <w:ind w:left="0" w:leftChars="0" w:right="0" w:firstLine="0" w:firstLineChars="0"/>
        <w:jc w:val="center"/>
        <w:textAlignment w:val="auto"/>
        <w:outlineLvl w:val="9"/>
        <w:rPr>
          <w:rFonts w:hint="eastAsia" w:ascii="黑体" w:hAnsi="黑体" w:eastAsia="黑体" w:cs="黑体"/>
          <w:b w:val="0"/>
          <w:bCs w:val="0"/>
          <w:i w:val="0"/>
          <w:iCs w:val="0"/>
          <w:color w:val="000000"/>
          <w:kern w:val="0"/>
          <w:sz w:val="40"/>
          <w:szCs w:val="40"/>
          <w:u w:val="none"/>
          <w:lang w:val="en-US" w:eastAsia="zh-CN"/>
        </w:rPr>
      </w:pPr>
      <w:r>
        <w:rPr>
          <w:rFonts w:hint="eastAsia" w:ascii="黑体" w:hAnsi="黑体" w:eastAsia="黑体" w:cs="黑体"/>
          <w:b w:val="0"/>
          <w:bCs w:val="0"/>
          <w:i w:val="0"/>
          <w:iCs w:val="0"/>
          <w:color w:val="000000"/>
          <w:kern w:val="0"/>
          <w:sz w:val="40"/>
          <w:szCs w:val="40"/>
          <w:u w:val="none"/>
          <w:lang w:val="en-US" w:eastAsia="zh-CN"/>
        </w:rPr>
        <w:t>荔城区基础教育学科教学研究基地学校</w:t>
      </w:r>
    </w:p>
    <w:tbl>
      <w:tblPr>
        <w:tblW w:w="8689" w:type="dxa"/>
        <w:jc w:val="center"/>
        <w:tblInd w:w="4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0"/>
        <w:gridCol w:w="3684"/>
        <w:gridCol w:w="1669"/>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jc w:val="center"/>
        </w:trPr>
        <w:tc>
          <w:tcPr>
            <w:tcW w:w="8689" w:type="dxa"/>
            <w:gridSpan w:val="4"/>
            <w:tcBorders>
              <w:top w:val="nil"/>
              <w:left w:val="nil"/>
              <w:bottom w:val="single" w:color="auto" w:sz="4" w:space="0"/>
              <w:right w:val="nil"/>
            </w:tcBorders>
            <w:vAlign w:val="center"/>
          </w:tcPr>
          <w:p>
            <w:pPr>
              <w:wordWrap/>
              <w:adjustRightInd/>
              <w:snapToGrid/>
              <w:spacing w:line="400" w:lineRule="exact"/>
              <w:jc w:val="center"/>
              <w:rPr>
                <w:rFonts w:hint="eastAsia" w:ascii="宋体" w:hAnsi="宋体" w:eastAsia="宋体" w:cs="宋体"/>
                <w:b/>
                <w:bCs/>
                <w:i w:val="0"/>
                <w:iCs w:val="0"/>
                <w:color w:val="000000"/>
                <w:sz w:val="40"/>
                <w:szCs w:val="40"/>
                <w:u w:val="none"/>
              </w:rPr>
            </w:pPr>
            <w:r>
              <w:rPr>
                <w:rFonts w:hint="eastAsia" w:ascii="楷体_GB2312" w:hAnsi="楷体_GB2312" w:eastAsia="楷体_GB2312" w:cs="楷体_GB2312"/>
                <w:b/>
                <w:bCs/>
                <w:sz w:val="32"/>
                <w:szCs w:val="32"/>
                <w:lang w:eastAsia="zh-CN"/>
              </w:rPr>
              <w:t>（第一批，共</w:t>
            </w:r>
            <w:r>
              <w:rPr>
                <w:rFonts w:hint="eastAsia" w:ascii="楷体_GB2312" w:hAnsi="楷体_GB2312" w:eastAsia="楷体_GB2312" w:cs="楷体_GB2312"/>
                <w:b/>
                <w:bCs/>
                <w:sz w:val="32"/>
                <w:szCs w:val="32"/>
                <w:lang w:val="en-US" w:eastAsia="zh-CN"/>
              </w:rPr>
              <w:t>16所</w:t>
            </w:r>
            <w:r>
              <w:rPr>
                <w:rFonts w:hint="eastAsia" w:ascii="楷体_GB2312" w:hAnsi="楷体_GB2312" w:eastAsia="楷体_GB2312" w:cs="楷体_GB2312"/>
                <w:b/>
                <w:bCs/>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rPr>
              <w:t>学  校</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rPr>
              <w:t>学段</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rPr>
              <w:t>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1</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梅峰小学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2</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荔城区麟峰小学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3</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第一实小</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4</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江东中心小学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5</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新溪小学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6</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荔城区第四实验小学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小学</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7</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东洋中学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8</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莆田中山中学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9</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渠桥二中</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10</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岱峰中学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11</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沙堤中学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12</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砺青中学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初中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13</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莆田第四中学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高中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14</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莆田第八中学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高中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15</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莆田第九中学</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高中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8"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rPr>
              <w:t>16</w:t>
            </w:r>
          </w:p>
        </w:tc>
        <w:tc>
          <w:tcPr>
            <w:tcW w:w="368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莆田二十四中</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高中</w:t>
            </w:r>
          </w:p>
        </w:tc>
        <w:tc>
          <w:tcPr>
            <w:tcW w:w="21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40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rPr>
              <w:t>化学</w:t>
            </w:r>
          </w:p>
        </w:tc>
      </w:tr>
    </w:tbl>
    <w:p>
      <w:pPr>
        <w:widowControl/>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widowControl/>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pPr>
        <w:widowControl/>
        <w:wordWrap/>
        <w:adjustRightInd/>
        <w:snapToGrid/>
        <w:spacing w:before="0" w:after="0" w:line="520" w:lineRule="exact"/>
        <w:ind w:left="0" w:leftChars="0" w:right="0" w:firstLine="0" w:firstLineChars="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附件</w:t>
      </w:r>
      <w:r>
        <w:rPr>
          <w:rFonts w:hint="eastAsia" w:ascii="仿宋_GB2312" w:hAnsi="仿宋_GB2312" w:eastAsia="仿宋_GB2312" w:cs="仿宋_GB2312"/>
          <w:b w:val="0"/>
          <w:bCs w:val="0"/>
          <w:color w:val="000000"/>
          <w:kern w:val="0"/>
          <w:sz w:val="32"/>
          <w:szCs w:val="32"/>
          <w:lang w:val="en-US" w:eastAsia="zh-CN"/>
        </w:rPr>
        <w:t>2</w:t>
      </w:r>
    </w:p>
    <w:p>
      <w:pPr>
        <w:wordWrap/>
        <w:adjustRightInd/>
        <w:snapToGrid/>
        <w:spacing w:before="0" w:after="0" w:line="520" w:lineRule="exact"/>
        <w:ind w:left="0" w:leftChars="0" w:right="0" w:firstLine="0" w:firstLineChars="0"/>
        <w:jc w:val="center"/>
        <w:textAlignment w:val="auto"/>
        <w:outlineLvl w:val="9"/>
        <w:rPr>
          <w:rFonts w:hint="eastAsia" w:ascii="黑体" w:hAnsi="黑体" w:eastAsia="黑体" w:cs="黑体"/>
          <w:b w:val="0"/>
          <w:bCs w:val="0"/>
          <w:i w:val="0"/>
          <w:iCs w:val="0"/>
          <w:color w:val="000000"/>
          <w:kern w:val="0"/>
          <w:sz w:val="36"/>
          <w:szCs w:val="36"/>
          <w:u w:val="none"/>
          <w:lang w:val="en-US" w:eastAsia="zh-CN"/>
        </w:rPr>
      </w:pPr>
      <w:r>
        <w:rPr>
          <w:rFonts w:hint="eastAsia" w:ascii="黑体" w:hAnsi="黑体" w:eastAsia="黑体" w:cs="黑体"/>
          <w:b w:val="0"/>
          <w:bCs w:val="0"/>
          <w:i w:val="0"/>
          <w:iCs w:val="0"/>
          <w:color w:val="000000"/>
          <w:kern w:val="0"/>
          <w:sz w:val="36"/>
          <w:szCs w:val="36"/>
          <w:u w:val="none"/>
          <w:lang w:val="en-US" w:eastAsia="zh-CN"/>
        </w:rPr>
        <w:t>荔城区基础教育学科教学研究基地</w:t>
      </w:r>
    </w:p>
    <w:p>
      <w:pPr>
        <w:wordWrap/>
        <w:adjustRightInd/>
        <w:snapToGrid/>
        <w:spacing w:before="0" w:after="0" w:line="520" w:lineRule="exact"/>
        <w:ind w:left="0" w:leftChars="0" w:right="0" w:firstLine="0" w:firstLineChars="0"/>
        <w:jc w:val="center"/>
        <w:textAlignment w:val="auto"/>
        <w:outlineLvl w:val="9"/>
        <w:rPr>
          <w:rFonts w:hint="eastAsia" w:ascii="黑体" w:hAnsi="黑体" w:eastAsia="黑体" w:cs="黑体"/>
          <w:b w:val="0"/>
          <w:bCs w:val="0"/>
          <w:i w:val="0"/>
          <w:iCs w:val="0"/>
          <w:color w:val="000000"/>
          <w:kern w:val="0"/>
          <w:sz w:val="36"/>
          <w:szCs w:val="36"/>
          <w:u w:val="none"/>
          <w:lang w:val="en-US" w:eastAsia="zh-CN"/>
        </w:rPr>
      </w:pPr>
      <w:r>
        <w:rPr>
          <w:rFonts w:hint="eastAsia" w:ascii="黑体" w:hAnsi="黑体" w:eastAsia="黑体" w:cs="黑体"/>
          <w:b w:val="0"/>
          <w:bCs w:val="0"/>
          <w:i w:val="0"/>
          <w:iCs w:val="0"/>
          <w:color w:val="000000"/>
          <w:kern w:val="0"/>
          <w:sz w:val="36"/>
          <w:szCs w:val="36"/>
          <w:u w:val="none"/>
          <w:lang w:val="en-US" w:eastAsia="zh-CN"/>
        </w:rPr>
        <w:t>学校</w:t>
      </w:r>
      <w:r>
        <w:rPr>
          <w:rFonts w:hint="eastAsia" w:ascii="黑体" w:hAnsi="黑体" w:eastAsia="黑体" w:cs="黑体"/>
          <w:b w:val="0"/>
          <w:bCs w:val="0"/>
          <w:color w:val="000000"/>
          <w:kern w:val="0"/>
          <w:sz w:val="36"/>
          <w:szCs w:val="36"/>
          <w:lang w:eastAsia="zh-CN"/>
        </w:rPr>
        <w:t>考评</w:t>
      </w:r>
      <w:r>
        <w:rPr>
          <w:rFonts w:hint="eastAsia" w:ascii="黑体" w:hAnsi="黑体" w:eastAsia="黑体" w:cs="黑体"/>
          <w:b w:val="0"/>
          <w:bCs w:val="0"/>
          <w:color w:val="000000"/>
          <w:kern w:val="0"/>
          <w:sz w:val="36"/>
          <w:szCs w:val="36"/>
        </w:rPr>
        <w:t>标准</w:t>
      </w:r>
      <w:r>
        <w:rPr>
          <w:rFonts w:hint="eastAsia" w:ascii="黑体" w:hAnsi="黑体" w:eastAsia="黑体" w:cs="黑体"/>
          <w:b w:val="0"/>
          <w:bCs w:val="0"/>
          <w:i w:val="0"/>
          <w:iCs w:val="0"/>
          <w:color w:val="000000"/>
          <w:kern w:val="0"/>
          <w:sz w:val="36"/>
          <w:szCs w:val="36"/>
          <w:u w:val="none"/>
          <w:lang w:val="en-US" w:eastAsia="zh-CN"/>
        </w:rPr>
        <w:t>（试行）</w:t>
      </w:r>
    </w:p>
    <w:tbl>
      <w:tblPr>
        <w:tblW w:w="9441" w:type="dxa"/>
        <w:jc w:val="center"/>
        <w:tblInd w:w="-20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33"/>
        <w:gridCol w:w="82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89" w:hRule="atLeast"/>
          <w:jc w:val="center"/>
        </w:trPr>
        <w:tc>
          <w:tcPr>
            <w:tcW w:w="1233"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b/>
                <w:bCs/>
                <w:color w:val="auto"/>
                <w:kern w:val="0"/>
                <w:sz w:val="30"/>
                <w:szCs w:val="30"/>
                <w:lang w:eastAsia="zh-CN"/>
              </w:rPr>
            </w:pPr>
            <w:r>
              <w:rPr>
                <w:rFonts w:hint="eastAsia" w:ascii="仿宋_GB2312" w:hAnsi="仿宋_GB2312" w:eastAsia="仿宋_GB2312" w:cs="仿宋_GB2312"/>
                <w:b/>
                <w:bCs/>
                <w:color w:val="auto"/>
                <w:kern w:val="0"/>
                <w:sz w:val="30"/>
                <w:szCs w:val="30"/>
                <w:lang w:eastAsia="zh-CN"/>
              </w:rPr>
              <w:t>项目</w:t>
            </w:r>
          </w:p>
        </w:tc>
        <w:tc>
          <w:tcPr>
            <w:tcW w:w="8208"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lang w:eastAsia="zh-CN"/>
              </w:rPr>
              <w:t>具体</w:t>
            </w:r>
            <w:r>
              <w:rPr>
                <w:rFonts w:hint="eastAsia" w:ascii="仿宋_GB2312" w:hAnsi="仿宋_GB2312" w:eastAsia="仿宋_GB2312" w:cs="仿宋_GB2312"/>
                <w:b/>
                <w:bCs/>
                <w:color w:val="auto"/>
                <w:kern w:val="0"/>
                <w:sz w:val="30"/>
                <w:szCs w:val="30"/>
              </w:rPr>
              <w:t>指标内容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78" w:hRule="atLeast"/>
          <w:jc w:val="center"/>
        </w:trPr>
        <w:tc>
          <w:tcPr>
            <w:tcW w:w="12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color w:val="auto"/>
                <w:kern w:val="0"/>
                <w:sz w:val="24"/>
              </w:rPr>
            </w:pPr>
          </w:p>
          <w:p>
            <w:pPr>
              <w:widowControl/>
              <w:spacing w:line="285"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发展规划</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（1</w:t>
            </w:r>
            <w:r>
              <w:rPr>
                <w:rFonts w:hint="eastAsia" w:ascii="仿宋_GB2312" w:hAnsi="仿宋_GB2312" w:eastAsia="仿宋_GB2312" w:cs="仿宋_GB2312"/>
                <w:b/>
                <w:bCs/>
                <w:color w:val="auto"/>
                <w:kern w:val="0"/>
                <w:sz w:val="24"/>
                <w:lang w:val="en-US" w:eastAsia="zh-CN"/>
              </w:rPr>
              <w:t>5</w:t>
            </w:r>
            <w:r>
              <w:rPr>
                <w:rFonts w:hint="eastAsia" w:ascii="仿宋_GB2312" w:hAnsi="仿宋_GB2312" w:eastAsia="仿宋_GB2312" w:cs="仿宋_GB2312"/>
                <w:b/>
                <w:bCs/>
                <w:color w:val="auto"/>
                <w:kern w:val="0"/>
                <w:sz w:val="24"/>
              </w:rPr>
              <w:t>分）</w:t>
            </w:r>
          </w:p>
        </w:tc>
        <w:tc>
          <w:tcPr>
            <w:tcW w:w="820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1.学校研究制定五年发展规划，对校本教科研训工作提出具体明确又切实可行的目标任务和工作措施。</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2.学校</w:t>
            </w:r>
            <w:r>
              <w:rPr>
                <w:rFonts w:hint="eastAsia" w:ascii="仿宋_GB2312" w:hAnsi="仿宋_GB2312" w:eastAsia="仿宋_GB2312" w:cs="仿宋_GB2312"/>
                <w:color w:val="auto"/>
                <w:kern w:val="0"/>
                <w:sz w:val="24"/>
                <w:lang w:eastAsia="zh-CN"/>
              </w:rPr>
              <w:t>准确把握和落实国家和省市县关于教师发展的总体要求，制定教师队伍培训培养与专业发展三年或五年规划并分年度有计划地实施，成效明显。</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3.学校组织全体教师制定个人专业发展三年规划</w:t>
            </w:r>
            <w:r>
              <w:rPr>
                <w:rFonts w:hint="eastAsia" w:ascii="仿宋_GB2312" w:hAnsi="仿宋_GB2312" w:eastAsia="仿宋_GB2312" w:cs="仿宋_GB2312"/>
                <w:color w:val="auto"/>
                <w:kern w:val="0"/>
                <w:sz w:val="24"/>
                <w:lang w:eastAsia="zh-CN"/>
              </w:rPr>
              <w:t>并分年度有计划地实施。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3" w:hRule="atLeast"/>
          <w:jc w:val="center"/>
        </w:trPr>
        <w:tc>
          <w:tcPr>
            <w:tcW w:w="12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color w:val="auto"/>
                <w:kern w:val="0"/>
                <w:sz w:val="24"/>
              </w:rPr>
            </w:pPr>
          </w:p>
          <w:p>
            <w:pPr>
              <w:widowControl/>
              <w:spacing w:line="285"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组织管理</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w:t>
            </w:r>
            <w:r>
              <w:rPr>
                <w:rFonts w:hint="eastAsia" w:ascii="仿宋_GB2312" w:hAnsi="仿宋_GB2312" w:eastAsia="仿宋_GB2312" w:cs="仿宋_GB2312"/>
                <w:b/>
                <w:bCs/>
                <w:color w:val="auto"/>
                <w:kern w:val="0"/>
                <w:sz w:val="24"/>
                <w:lang w:val="en-US" w:eastAsia="zh-CN"/>
              </w:rPr>
              <w:t>15</w:t>
            </w:r>
            <w:r>
              <w:rPr>
                <w:rFonts w:hint="eastAsia" w:ascii="仿宋_GB2312" w:hAnsi="仿宋_GB2312" w:eastAsia="仿宋_GB2312" w:cs="仿宋_GB2312"/>
                <w:b/>
                <w:bCs/>
                <w:color w:val="auto"/>
                <w:kern w:val="0"/>
                <w:sz w:val="24"/>
              </w:rPr>
              <w:t>分）</w:t>
            </w:r>
          </w:p>
        </w:tc>
        <w:tc>
          <w:tcPr>
            <w:tcW w:w="820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lang w:eastAsia="zh-CN"/>
              </w:rPr>
              <w:t>.学校有完善的教科研训工作和基地校建设组织架构和管理制度，教科研训工作组织管理到位；基地校建设有校级领导牵头负责和职能部门专门负责，校务会议每学年研究教科研训工作的不少于</w:t>
            </w:r>
            <w:r>
              <w:rPr>
                <w:rFonts w:hint="eastAsia" w:ascii="仿宋_GB2312" w:hAnsi="仿宋_GB2312" w:eastAsia="仿宋_GB2312" w:cs="仿宋_GB2312"/>
                <w:color w:val="auto"/>
                <w:kern w:val="0"/>
                <w:sz w:val="24"/>
                <w:lang w:val="en-US" w:eastAsia="zh-CN"/>
              </w:rPr>
              <w:t>2次。</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5</w:t>
            </w:r>
            <w:r>
              <w:rPr>
                <w:rFonts w:hint="eastAsia" w:ascii="仿宋_GB2312" w:hAnsi="仿宋_GB2312" w:eastAsia="仿宋_GB2312" w:cs="仿宋_GB2312"/>
                <w:color w:val="auto"/>
                <w:kern w:val="0"/>
                <w:sz w:val="24"/>
                <w:lang w:eastAsia="zh-CN"/>
              </w:rPr>
              <w:t>.教师培训、研修制度化，采取多种形式开展校本培训、研修，学习成果有应用。</w:t>
            </w:r>
          </w:p>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6.教研、科研工作有具体工作方案，有专人管理。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08" w:hRule="atLeast"/>
          <w:jc w:val="center"/>
        </w:trPr>
        <w:tc>
          <w:tcPr>
            <w:tcW w:w="12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color w:val="auto"/>
                <w:kern w:val="0"/>
                <w:sz w:val="24"/>
              </w:rPr>
            </w:pPr>
          </w:p>
          <w:p>
            <w:pPr>
              <w:widowControl/>
              <w:spacing w:line="285"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基础条件</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（1</w:t>
            </w:r>
            <w:r>
              <w:rPr>
                <w:rFonts w:hint="eastAsia" w:ascii="仿宋_GB2312" w:hAnsi="仿宋_GB2312" w:eastAsia="仿宋_GB2312" w:cs="仿宋_GB2312"/>
                <w:b/>
                <w:bCs/>
                <w:color w:val="auto"/>
                <w:kern w:val="0"/>
                <w:sz w:val="24"/>
                <w:lang w:val="en-US" w:eastAsia="zh-CN"/>
              </w:rPr>
              <w:t>0</w:t>
            </w:r>
            <w:r>
              <w:rPr>
                <w:rFonts w:hint="eastAsia" w:ascii="仿宋_GB2312" w:hAnsi="仿宋_GB2312" w:eastAsia="仿宋_GB2312" w:cs="仿宋_GB2312"/>
                <w:b/>
                <w:bCs/>
                <w:color w:val="auto"/>
                <w:kern w:val="0"/>
                <w:sz w:val="24"/>
              </w:rPr>
              <w:t>分）</w:t>
            </w:r>
          </w:p>
        </w:tc>
        <w:tc>
          <w:tcPr>
            <w:tcW w:w="820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7</w:t>
            </w:r>
            <w:r>
              <w:rPr>
                <w:rFonts w:hint="eastAsia" w:ascii="仿宋_GB2312" w:hAnsi="仿宋_GB2312" w:eastAsia="仿宋_GB2312" w:cs="仿宋_GB2312"/>
                <w:color w:val="auto"/>
                <w:kern w:val="0"/>
                <w:sz w:val="24"/>
                <w:lang w:eastAsia="zh-CN"/>
              </w:rPr>
              <w:t>.教科研训有专用场所，并配备必要的办公设施设备。</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8</w:t>
            </w:r>
            <w:r>
              <w:rPr>
                <w:rFonts w:hint="eastAsia" w:ascii="仿宋_GB2312" w:hAnsi="仿宋_GB2312" w:eastAsia="仿宋_GB2312" w:cs="仿宋_GB2312"/>
                <w:color w:val="auto"/>
                <w:kern w:val="0"/>
                <w:sz w:val="24"/>
                <w:lang w:eastAsia="zh-CN"/>
              </w:rPr>
              <w:t>.教育教学报刊、图书、数字资源丰富，点击使用率高；学校网络环境和硬件能满足远程学习、研讨、培训需要。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139" w:hRule="atLeast"/>
          <w:jc w:val="center"/>
        </w:trPr>
        <w:tc>
          <w:tcPr>
            <w:tcW w:w="12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color w:val="auto"/>
                <w:kern w:val="0"/>
                <w:sz w:val="24"/>
              </w:rPr>
            </w:pPr>
          </w:p>
          <w:p>
            <w:pPr>
              <w:widowControl/>
              <w:spacing w:line="285"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队伍建设</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w:t>
            </w:r>
            <w:r>
              <w:rPr>
                <w:rFonts w:hint="eastAsia" w:ascii="仿宋_GB2312" w:hAnsi="仿宋_GB2312" w:eastAsia="仿宋_GB2312" w:cs="仿宋_GB2312"/>
                <w:b/>
                <w:bCs/>
                <w:color w:val="auto"/>
                <w:kern w:val="0"/>
                <w:sz w:val="24"/>
                <w:lang w:val="en-US" w:eastAsia="zh-CN"/>
              </w:rPr>
              <w:t>2</w:t>
            </w:r>
            <w:r>
              <w:rPr>
                <w:rFonts w:hint="eastAsia" w:ascii="仿宋_GB2312" w:hAnsi="仿宋_GB2312" w:eastAsia="仿宋_GB2312" w:cs="仿宋_GB2312"/>
                <w:b/>
                <w:bCs/>
                <w:color w:val="auto"/>
                <w:kern w:val="0"/>
                <w:sz w:val="24"/>
              </w:rPr>
              <w:t>0分）</w:t>
            </w:r>
          </w:p>
        </w:tc>
        <w:tc>
          <w:tcPr>
            <w:tcW w:w="820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9</w:t>
            </w:r>
            <w:r>
              <w:rPr>
                <w:rFonts w:hint="eastAsia" w:ascii="仿宋_GB2312" w:hAnsi="仿宋_GB2312" w:eastAsia="仿宋_GB2312" w:cs="仿宋_GB2312"/>
                <w:color w:val="auto"/>
                <w:kern w:val="0"/>
                <w:sz w:val="24"/>
                <w:lang w:eastAsia="zh-CN"/>
              </w:rPr>
              <w:t>.领导班子教育理念先进，重视、支持教科研训工作，教科研训工作思路清晰，教科研训常规工作组织协调、检查落实好。</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10</w:t>
            </w:r>
            <w:r>
              <w:rPr>
                <w:rFonts w:hint="eastAsia" w:ascii="仿宋_GB2312" w:hAnsi="仿宋_GB2312" w:eastAsia="仿宋_GB2312" w:cs="仿宋_GB2312"/>
                <w:color w:val="auto"/>
                <w:kern w:val="0"/>
                <w:sz w:val="24"/>
                <w:lang w:eastAsia="zh-CN"/>
              </w:rPr>
              <w:t>.教师师德师风好，参与教科研训工作积极性高。</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11</w:t>
            </w:r>
            <w:r>
              <w:rPr>
                <w:rFonts w:hint="eastAsia" w:ascii="仿宋_GB2312" w:hAnsi="仿宋_GB2312" w:eastAsia="仿宋_GB2312" w:cs="仿宋_GB2312"/>
                <w:color w:val="auto"/>
                <w:kern w:val="0"/>
                <w:sz w:val="24"/>
                <w:lang w:eastAsia="zh-CN"/>
              </w:rPr>
              <w:t>.学科教研组、备课组和年级组等管理人员配齐配强，重视发展骨干、名优教师团队，支持、促进青年教师成长。</w:t>
            </w:r>
          </w:p>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12.组建学科教研共同体、</w:t>
            </w:r>
            <w:r>
              <w:rPr>
                <w:rFonts w:hint="eastAsia" w:ascii="仿宋_GB2312" w:hAnsi="仿宋_GB2312" w:eastAsia="仿宋_GB2312" w:cs="仿宋_GB2312"/>
                <w:color w:val="auto"/>
                <w:kern w:val="0"/>
                <w:sz w:val="24"/>
                <w:lang w:eastAsia="zh-CN"/>
              </w:rPr>
              <w:t>课题攻坚团队、培训师队伍，形成良好的团队合作关系。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jc w:val="center"/>
        </w:trPr>
        <w:tc>
          <w:tcPr>
            <w:tcW w:w="1233" w:type="dxa"/>
            <w:vMerge w:val="restart"/>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center"/>
              <w:rPr>
                <w:rFonts w:hint="eastAsia" w:ascii="仿宋_GB2312" w:hAnsi="仿宋_GB2312" w:eastAsia="仿宋_GB2312" w:cs="仿宋_GB2312"/>
                <w:color w:val="auto"/>
                <w:kern w:val="0"/>
                <w:sz w:val="24"/>
              </w:rPr>
            </w:pPr>
          </w:p>
          <w:p>
            <w:pPr>
              <w:widowControl/>
              <w:spacing w:line="285" w:lineRule="atLeast"/>
              <w:jc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kern w:val="0"/>
                <w:sz w:val="24"/>
              </w:rPr>
              <w:t>示范辐射</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（20分）</w:t>
            </w:r>
          </w:p>
        </w:tc>
        <w:tc>
          <w:tcPr>
            <w:tcW w:w="8208" w:type="dxa"/>
            <w:vMerge w:val="restart"/>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1</w:t>
            </w: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lang w:eastAsia="zh-CN"/>
              </w:rPr>
              <w:t>.具有组织片区研训活动或与他校合作开展教科研训工作的经历与经验，并取得一定成效。</w:t>
            </w:r>
          </w:p>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14.学校</w:t>
            </w:r>
            <w:r>
              <w:rPr>
                <w:rFonts w:hint="eastAsia" w:ascii="仿宋_GB2312" w:hAnsi="仿宋_GB2312" w:eastAsia="仿宋_GB2312" w:cs="仿宋_GB2312"/>
                <w:color w:val="auto"/>
                <w:kern w:val="0"/>
                <w:sz w:val="24"/>
                <w:lang w:eastAsia="zh-CN"/>
              </w:rPr>
              <w:t>有较强的教科研实力，能总结凝练经验并面向区域内外其他学校辐射，向区域内学校推广。</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15</w:t>
            </w:r>
            <w:r>
              <w:rPr>
                <w:rFonts w:hint="eastAsia" w:ascii="仿宋_GB2312" w:hAnsi="仿宋_GB2312" w:eastAsia="仿宋_GB2312" w:cs="仿宋_GB2312"/>
                <w:color w:val="auto"/>
                <w:kern w:val="0"/>
                <w:sz w:val="24"/>
                <w:lang w:eastAsia="zh-CN"/>
              </w:rPr>
              <w:t>.学校能与结对帮扶学校实现共建、共享教科研训资源。</w:t>
            </w:r>
          </w:p>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16.坚持开放办学，积极承办县级及以上教科研训活动，勇于接受周边学校的参观考察。</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30" w:hRule="atLeast"/>
          <w:jc w:val="center"/>
        </w:trPr>
        <w:tc>
          <w:tcPr>
            <w:tcW w:w="1233"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_GB2312" w:eastAsia="仿宋_GB2312" w:cs="仿宋_GB2312"/>
                <w:color w:val="auto"/>
                <w:kern w:val="0"/>
                <w:sz w:val="24"/>
              </w:rPr>
            </w:pPr>
          </w:p>
        </w:tc>
        <w:tc>
          <w:tcPr>
            <w:tcW w:w="8208" w:type="dxa"/>
            <w:vMerge w:val="continue"/>
            <w:tcBorders>
              <w:top w:val="nil"/>
              <w:left w:val="nil"/>
              <w:bottom w:val="single" w:color="000000" w:sz="6" w:space="0"/>
              <w:right w:val="single" w:color="000000" w:sz="6" w:space="0"/>
            </w:tcBorders>
            <w:vAlign w:val="center"/>
          </w:tcPr>
          <w:p>
            <w:pPr>
              <w:widowControl/>
              <w:spacing w:line="240" w:lineRule="atLeast"/>
              <w:jc w:val="left"/>
              <w:rPr>
                <w:rFonts w:hint="eastAsia" w:ascii="仿宋_GB2312" w:hAnsi="仿宋_GB2312" w:eastAsia="仿宋_GB2312" w:cs="仿宋_GB2312"/>
                <w:color w:val="auto"/>
                <w:kern w:val="0"/>
                <w:sz w:val="24"/>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49" w:hRule="atLeast"/>
          <w:jc w:val="center"/>
        </w:trPr>
        <w:tc>
          <w:tcPr>
            <w:tcW w:w="1233" w:type="dxa"/>
            <w:vMerge w:val="continue"/>
            <w:tcBorders>
              <w:top w:val="nil"/>
              <w:left w:val="single" w:color="000000" w:sz="6" w:space="0"/>
              <w:bottom w:val="single" w:color="000000" w:sz="6" w:space="0"/>
              <w:right w:val="single" w:color="000000" w:sz="6" w:space="0"/>
            </w:tcBorders>
            <w:vAlign w:val="center"/>
          </w:tcPr>
          <w:p>
            <w:pPr>
              <w:widowControl/>
              <w:jc w:val="left"/>
              <w:rPr>
                <w:rFonts w:hint="eastAsia" w:ascii="仿宋_GB2312" w:hAnsi="仿宋_GB2312" w:eastAsia="仿宋_GB2312" w:cs="仿宋_GB2312"/>
                <w:color w:val="auto"/>
                <w:kern w:val="0"/>
                <w:sz w:val="24"/>
              </w:rPr>
            </w:pPr>
          </w:p>
        </w:tc>
        <w:tc>
          <w:tcPr>
            <w:tcW w:w="8208" w:type="dxa"/>
            <w:vMerge w:val="continue"/>
            <w:tcBorders>
              <w:top w:val="nil"/>
              <w:left w:val="nil"/>
              <w:bottom w:val="single" w:color="000000" w:sz="6" w:space="0"/>
              <w:right w:val="single" w:color="000000" w:sz="6" w:space="0"/>
            </w:tcBorders>
            <w:vAlign w:val="center"/>
          </w:tcPr>
          <w:p>
            <w:pPr>
              <w:widowControl/>
              <w:spacing w:line="240" w:lineRule="atLeast"/>
              <w:jc w:val="left"/>
              <w:rPr>
                <w:rFonts w:hint="eastAsia" w:ascii="仿宋_GB2312" w:hAnsi="仿宋_GB2312" w:eastAsia="仿宋_GB2312" w:cs="仿宋_GB2312"/>
                <w:color w:val="auto"/>
                <w:kern w:val="0"/>
                <w:sz w:val="24"/>
                <w:lang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94" w:hRule="atLeast"/>
          <w:jc w:val="center"/>
        </w:trPr>
        <w:tc>
          <w:tcPr>
            <w:tcW w:w="1233"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285" w:lineRule="atLeast"/>
              <w:jc w:val="both"/>
              <w:rPr>
                <w:rFonts w:hint="eastAsia" w:ascii="仿宋_GB2312" w:hAnsi="仿宋_GB2312" w:eastAsia="仿宋_GB2312" w:cs="仿宋_GB2312"/>
                <w:b/>
                <w:bCs/>
                <w:color w:val="auto"/>
                <w:kern w:val="0"/>
                <w:sz w:val="24"/>
                <w:lang w:eastAsia="zh-CN"/>
              </w:rPr>
            </w:pPr>
            <w:r>
              <w:rPr>
                <w:rFonts w:hint="eastAsia" w:ascii="仿宋_GB2312" w:hAnsi="仿宋_GB2312" w:eastAsia="仿宋_GB2312" w:cs="仿宋_GB2312"/>
                <w:b/>
                <w:bCs/>
                <w:color w:val="auto"/>
                <w:kern w:val="0"/>
                <w:sz w:val="24"/>
              </w:rPr>
              <w:t>特色</w:t>
            </w:r>
            <w:r>
              <w:rPr>
                <w:rFonts w:hint="eastAsia" w:ascii="仿宋_GB2312" w:hAnsi="仿宋_GB2312" w:eastAsia="仿宋_GB2312" w:cs="仿宋_GB2312"/>
                <w:b/>
                <w:bCs/>
                <w:color w:val="auto"/>
                <w:kern w:val="0"/>
                <w:sz w:val="24"/>
                <w:lang w:eastAsia="zh-CN"/>
              </w:rPr>
              <w:t>创建</w:t>
            </w:r>
          </w:p>
          <w:p>
            <w:pPr>
              <w:widowControl/>
              <w:spacing w:line="285"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b/>
                <w:bCs/>
                <w:color w:val="auto"/>
                <w:kern w:val="0"/>
                <w:sz w:val="24"/>
              </w:rPr>
              <w:t>（</w:t>
            </w:r>
            <w:r>
              <w:rPr>
                <w:rFonts w:hint="eastAsia" w:ascii="仿宋_GB2312" w:hAnsi="仿宋_GB2312" w:eastAsia="仿宋_GB2312" w:cs="仿宋_GB2312"/>
                <w:b/>
                <w:bCs/>
                <w:color w:val="auto"/>
                <w:kern w:val="0"/>
                <w:sz w:val="24"/>
                <w:lang w:val="en-US" w:eastAsia="zh-CN"/>
              </w:rPr>
              <w:t>2</w:t>
            </w:r>
            <w:r>
              <w:rPr>
                <w:rFonts w:hint="eastAsia" w:ascii="仿宋_GB2312" w:hAnsi="仿宋_GB2312" w:eastAsia="仿宋_GB2312" w:cs="仿宋_GB2312"/>
                <w:b/>
                <w:bCs/>
                <w:color w:val="auto"/>
                <w:kern w:val="0"/>
                <w:sz w:val="24"/>
              </w:rPr>
              <w:t>0分）</w:t>
            </w:r>
          </w:p>
        </w:tc>
        <w:tc>
          <w:tcPr>
            <w:tcW w:w="8208" w:type="dxa"/>
            <w:tcBorders>
              <w:top w:val="nil"/>
              <w:left w:val="nil"/>
              <w:bottom w:val="single" w:color="000000" w:sz="6" w:space="0"/>
              <w:right w:val="single" w:color="000000" w:sz="6" w:space="0"/>
            </w:tcBorders>
            <w:tcMar>
              <w:top w:w="0" w:type="dxa"/>
              <w:left w:w="105" w:type="dxa"/>
              <w:bottom w:w="0" w:type="dxa"/>
              <w:right w:w="105" w:type="dxa"/>
            </w:tcMar>
            <w:vAlign w:val="center"/>
          </w:tcPr>
          <w:p>
            <w:pPr>
              <w:widowControl/>
              <w:spacing w:line="240" w:lineRule="atLeast"/>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eastAsia="zh-CN"/>
              </w:rPr>
              <w:t>1</w:t>
            </w:r>
            <w:r>
              <w:rPr>
                <w:rFonts w:hint="eastAsia" w:ascii="仿宋_GB2312" w:hAnsi="仿宋_GB2312" w:eastAsia="仿宋_GB2312" w:cs="仿宋_GB2312"/>
                <w:color w:val="auto"/>
                <w:kern w:val="0"/>
                <w:sz w:val="24"/>
                <w:lang w:val="en-US" w:eastAsia="zh-CN"/>
              </w:rPr>
              <w:t>7</w:t>
            </w:r>
            <w:r>
              <w:rPr>
                <w:rFonts w:hint="eastAsia" w:ascii="仿宋_GB2312" w:hAnsi="仿宋_GB2312" w:eastAsia="仿宋_GB2312" w:cs="仿宋_GB2312"/>
                <w:color w:val="auto"/>
                <w:kern w:val="0"/>
                <w:sz w:val="24"/>
                <w:lang w:eastAsia="zh-CN"/>
              </w:rPr>
              <w:t>.学校办学</w:t>
            </w:r>
            <w:r>
              <w:rPr>
                <w:rFonts w:hint="eastAsia" w:ascii="仿宋_GB2312" w:hAnsi="仿宋_GB2312" w:eastAsia="仿宋_GB2312" w:cs="仿宋_GB2312"/>
                <w:color w:val="auto"/>
                <w:kern w:val="0"/>
                <w:sz w:val="24"/>
                <w:lang w:val="en-US" w:eastAsia="zh-CN"/>
              </w:rPr>
              <w:t>5年以上，形成先进科学而有校本特色的办学思想体系。</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18.紧跟教育改革步伐，有效实施课程改革和推进素质教育，大胆开展教学改革活动，积极转变教育方式与育人方式。</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rPr>
              <w:t>19.</w:t>
            </w:r>
            <w:r>
              <w:rPr>
                <w:rFonts w:hint="eastAsia" w:ascii="仿宋_GB2312" w:hAnsi="仿宋_GB2312" w:eastAsia="仿宋_GB2312" w:cs="仿宋_GB2312"/>
                <w:color w:val="auto"/>
                <w:kern w:val="0"/>
                <w:sz w:val="24"/>
                <w:lang w:eastAsia="zh-CN"/>
              </w:rPr>
              <w:t>重视教研室和学科教研组、备课组建设，能扎实有效地组织开展学科教科研训工作，活动有计划有记录有效果；能挖掘潜力、发挥优势，改革创新、</w:t>
            </w:r>
            <w:r>
              <w:rPr>
                <w:rFonts w:hint="eastAsia" w:ascii="仿宋_GB2312" w:hAnsi="仿宋_GB2312" w:eastAsia="仿宋_GB2312" w:cs="仿宋_GB2312"/>
                <w:color w:val="auto"/>
                <w:kern w:val="0"/>
                <w:sz w:val="24"/>
                <w:lang w:val="en-US" w:eastAsia="zh-CN"/>
              </w:rPr>
              <w:t>与时俱进，推动新时代教科研训转型，校本</w:t>
            </w:r>
            <w:r>
              <w:rPr>
                <w:rFonts w:hint="eastAsia" w:ascii="仿宋_GB2312" w:hAnsi="仿宋_GB2312" w:eastAsia="仿宋_GB2312" w:cs="仿宋_GB2312"/>
                <w:color w:val="auto"/>
                <w:kern w:val="0"/>
                <w:sz w:val="24"/>
                <w:lang w:eastAsia="zh-CN"/>
              </w:rPr>
              <w:t>教科研训工作较好地服务教育教学改革创新和教师专业发展，有一定的社会美誉度。</w:t>
            </w:r>
          </w:p>
          <w:p>
            <w:pPr>
              <w:widowControl/>
              <w:spacing w:line="240" w:lineRule="atLeast"/>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2</w:t>
            </w:r>
            <w:r>
              <w:rPr>
                <w:rFonts w:hint="eastAsia" w:ascii="仿宋_GB2312" w:hAnsi="仿宋_GB2312" w:eastAsia="仿宋_GB2312" w:cs="仿宋_GB2312"/>
                <w:color w:val="auto"/>
                <w:kern w:val="0"/>
                <w:sz w:val="24"/>
                <w:lang w:val="en-US" w:eastAsia="zh-CN"/>
              </w:rPr>
              <w:t>0</w:t>
            </w:r>
            <w:r>
              <w:rPr>
                <w:rFonts w:hint="eastAsia" w:ascii="仿宋_GB2312" w:hAnsi="仿宋_GB2312" w:eastAsia="仿宋_GB2312" w:cs="仿宋_GB2312"/>
                <w:color w:val="auto"/>
                <w:kern w:val="0"/>
                <w:sz w:val="24"/>
                <w:lang w:eastAsia="zh-CN"/>
              </w:rPr>
              <w:t>.学校有区级及以上研究课题，有学科校本课题，并取得初步研究成果。</w:t>
            </w:r>
          </w:p>
        </w:tc>
      </w:tr>
    </w:tbl>
    <w:p>
      <w:pPr>
        <w:jc w:val="both"/>
        <w:rPr>
          <w:rFonts w:hint="eastAsia"/>
          <w:lang w:val="en-US" w:eastAsia="zh-CN"/>
        </w:rPr>
      </w:pPr>
    </w:p>
    <w:sectPr>
      <w:footerReference r:id="rId4" w:type="default"/>
      <w:footerReference r:id="rId5" w:type="even"/>
      <w:pgSz w:w="11906" w:h="16838"/>
      <w:pgMar w:top="1440" w:right="1800" w:bottom="1440" w:left="1800" w:header="851" w:footer="850" w:gutter="0"/>
      <w:paperSrc w:first="0" w:oth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10006FF" w:usb1="4000205B" w:usb2="00000010" w:usb3="00000000" w:csb0="2000019F"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libri Cyr">
    <w:altName w:val="Calibri"/>
    <w:panose1 w:val="00000000000000000000"/>
    <w:charset w:val="CC"/>
    <w:family w:val="auto"/>
    <w:pitch w:val="default"/>
    <w:sig w:usb0="00000000" w:usb1="00000000" w:usb2="00000000" w:usb3="00000000" w:csb0="00000004"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方正大标宋简体">
    <w:altName w:val="宋体"/>
    <w:panose1 w:val="02010601030101010101"/>
    <w:charset w:val="86"/>
    <w:family w:val="auto"/>
    <w:pitch w:val="default"/>
    <w:sig w:usb0="00000001" w:usb1="080E0000" w:usb2="00000010" w:usb3="00000000" w:csb0="00040000" w:csb1="00000000"/>
  </w:font>
  <w:font w:name="方正启体简体">
    <w:altName w:val="黑体"/>
    <w:panose1 w:val="03000509000000000000"/>
    <w:charset w:val="86"/>
    <w:family w:val="auto"/>
    <w:pitch w:val="default"/>
    <w:sig w:usb0="00000001" w:usb1="080E0000" w:usb2="00000010" w:usb3="00000000" w:csb0="00040000"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寰蒋闆呴粦">
    <w:altName w:val="微软雅黑"/>
    <w:panose1 w:val="00000000000000000000"/>
    <w:charset w:val="01"/>
    <w:family w:val="auto"/>
    <w:pitch w:val="default"/>
    <w:sig w:usb0="00000000" w:usb1="00000000" w:usb2="00000000" w:usb3="00000000" w:csb0="00040001" w:csb1="00000000"/>
  </w:font>
  <w:font w:name="Adobe 仿宋 Std R">
    <w:altName w:val="仿宋"/>
    <w:panose1 w:val="02020400000000000000"/>
    <w:charset w:val="86"/>
    <w:family w:val="auto"/>
    <w:pitch w:val="default"/>
    <w:sig w:usb0="00000001" w:usb1="0A0F1810" w:usb2="00000016" w:usb3="00000000" w:csb0="00060007" w:csb1="00000000"/>
  </w:font>
  <w:font w:name="Cambria Math">
    <w:panose1 w:val="02040503050406030204"/>
    <w:charset w:val="01"/>
    <w:family w:val="auto"/>
    <w:pitch w:val="default"/>
    <w:sig w:usb0="E00002FF" w:usb1="420024FF" w:usb2="00000000" w:usb3="00000000" w:csb0="2000019F"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方正魏碑简体">
    <w:altName w:val="宋体"/>
    <w:panose1 w:val="03000509000000000000"/>
    <w:charset w:val="86"/>
    <w:family w:val="auto"/>
    <w:pitch w:val="default"/>
    <w:sig w:usb0="00000001" w:usb1="080E0000" w:usb2="00000000" w:usb3="00000000" w:csb0="00040000" w:csb1="00000000"/>
  </w:font>
  <w:font w:name="方正大黑简体">
    <w:altName w:val="黑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经典图案字">
    <w:altName w:val="宋体"/>
    <w:panose1 w:val="02010609000101010101"/>
    <w:charset w:val="86"/>
    <w:family w:val="auto"/>
    <w:pitch w:val="default"/>
    <w:sig w:usb0="A1007AEF" w:usb1="F9DF7CFB" w:usb2="0000001E" w:usb3="00000000" w:csb0="20040000" w:csb1="00000000"/>
  </w:font>
  <w:font w:name="Cambria">
    <w:panose1 w:val="02040503050406030204"/>
    <w:charset w:val="00"/>
    <w:family w:val="auto"/>
    <w:pitch w:val="default"/>
    <w:sig w:usb0="E00002FF" w:usb1="400004FF" w:usb2="00000000" w:usb3="00000000" w:csb0="2000019F" w:csb1="00000000"/>
  </w:font>
  <w:font w:name="迷你简汉真广标">
    <w:altName w:val="宋体"/>
    <w:panose1 w:val="02010609000101010101"/>
    <w:charset w:val="86"/>
    <w:family w:val="auto"/>
    <w:pitch w:val="default"/>
    <w:sig w:usb0="00000001" w:usb1="080E0800" w:usb2="00000002" w:usb3="00000000" w:csb0="00040000" w:csb1="00000000"/>
  </w:font>
  <w:font w:name="汉仪书宋一简">
    <w:altName w:val="宋体"/>
    <w:panose1 w:val="02010609000101010101"/>
    <w:charset w:val="86"/>
    <w:family w:val="auto"/>
    <w:pitch w:val="default"/>
    <w:sig w:usb0="00000001" w:usb1="080E0800" w:usb2="00000002" w:usb3="00000000" w:csb0="00040000" w:csb1="00000000"/>
  </w:font>
  <w:font w:name="汉仪中黑简">
    <w:altName w:val="黑体"/>
    <w:panose1 w:val="02010609000101010101"/>
    <w:charset w:val="86"/>
    <w:family w:val="auto"/>
    <w:pitch w:val="default"/>
    <w:sig w:usb0="00000001" w:usb1="080E0800" w:usb2="00000002" w:usb3="00000000" w:csb0="00040000" w:csb1="00000000"/>
  </w:font>
  <w:font w:name="Helvetica">
    <w:altName w:val="黑体"/>
    <w:panose1 w:val="020B0604020202020204"/>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ˎ̥,Verdana,Arial">
    <w:altName w:val="Times New Roman"/>
    <w:panose1 w:val="00000000000000000000"/>
    <w:charset w:val="00"/>
    <w:family w:val="auto"/>
    <w:pitch w:val="default"/>
    <w:sig w:usb0="00000000" w:usb1="00000000" w:usb2="00000000" w:usb3="00000000" w:csb0="00040001" w:csb1="00000000"/>
  </w:font>
  <w:font w:name="Arial Helvetica sans-serif">
    <w:altName w:val="Times New Roman"/>
    <w:panose1 w:val="00000000000000000000"/>
    <w:charset w:val="00"/>
    <w:family w:val="auto"/>
    <w:pitch w:val="default"/>
    <w:sig w:usb0="00000000" w:usb1="00000000" w:usb2="00000000" w:usb3="00000000" w:csb0="00040001" w:csb1="00000000"/>
  </w:font>
  <w:font w:name="Hiragino Sans GB W3">
    <w:altName w:val="微软雅黑"/>
    <w:panose1 w:val="00000000000000000000"/>
    <w:charset w:val="01"/>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0" w:usb1="080E0000" w:usb2="00000010" w:usb3="00000000" w:csb0="00040000" w:csb1="00000000"/>
  </w:font>
  <w:font w:name="方正宋黑简体">
    <w:altName w:val="宋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Lucida Sans">
    <w:altName w:val="Lucida Sans Unicode"/>
    <w:panose1 w:val="020B0602030504020204"/>
    <w:charset w:val="00"/>
    <w:family w:val="auto"/>
    <w:pitch w:val="default"/>
    <w:sig w:usb0="00000000" w:usb1="00000000" w:usb2="00000000" w:usb3="00000000" w:csb0="00040001" w:csb1="00000000"/>
  </w:font>
  <w:font w:name="Mangal">
    <w:panose1 w:val="02040503050203030202"/>
    <w:charset w:val="00"/>
    <w:family w:val="auto"/>
    <w:pitch w:val="default"/>
    <w:sig w:usb0="00008003"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ź�">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方正姚体">
    <w:panose1 w:val="02010601030101010101"/>
    <w:charset w:val="86"/>
    <w:family w:val="auto"/>
    <w:pitch w:val="default"/>
    <w:sig w:usb0="00000003"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Lucida Sans Unicode">
    <w:panose1 w:val="020B0602030504020204"/>
    <w:charset w:val="00"/>
    <w:family w:val="auto"/>
    <w:pitch w:val="default"/>
    <w:sig w:usb0="80001AFF" w:usb1="0000396B" w:usb2="00000000" w:usb3="00000000" w:csb0="200000BF" w:csb1="D7F70000"/>
  </w:font>
  <w:font w:name="Palatino Linotype">
    <w:panose1 w:val="02040502050505030304"/>
    <w:charset w:val="00"/>
    <w:family w:val="auto"/>
    <w:pitch w:val="default"/>
    <w:sig w:usb0="E0000287" w:usb1="40000013" w:usb2="00000000" w:usb3="00000000" w:csb0="2000019F" w:csb1="00000000"/>
  </w:font>
  <w:font w:name="Cambria Math CE">
    <w:altName w:val="Cambria"/>
    <w:panose1 w:val="00000000000000000000"/>
    <w:charset w:val="EE"/>
    <w:family w:val="auto"/>
    <w:pitch w:val="default"/>
    <w:sig w:usb0="00000000" w:usb1="00000000" w:usb2="00000000" w:usb3="00000000" w:csb0="00000002"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Calibri Light CE">
    <w:altName w:val="Calibri"/>
    <w:panose1 w:val="00000000000000000000"/>
    <w:charset w:val="EE"/>
    <w:family w:val="auto"/>
    <w:pitch w:val="default"/>
    <w:sig w:usb0="00000000" w:usb1="00000000" w:usb2="00000000" w:usb3="00000000" w:csb0="00000002" w:csb1="00000000"/>
  </w:font>
  <w:font w:name="Calibri Light Cyr">
    <w:altName w:val="Calibri"/>
    <w:panose1 w:val="00000000000000000000"/>
    <w:charset w:val="CC"/>
    <w:family w:val="auto"/>
    <w:pitch w:val="default"/>
    <w:sig w:usb0="00000000" w:usb1="00000000" w:usb2="00000000" w:usb3="00000000" w:csb0="00000004" w:csb1="00000000"/>
  </w:font>
  <w:font w:name="Calibri Light Greek">
    <w:altName w:val="Calibri"/>
    <w:panose1 w:val="00000000000000000000"/>
    <w:charset w:val="A1"/>
    <w:family w:val="auto"/>
    <w:pitch w:val="default"/>
    <w:sig w:usb0="00000000" w:usb1="00000000" w:usb2="00000000" w:usb3="00000000" w:csb0="00000008" w:csb1="00000000"/>
  </w:font>
  <w:font w:name="Calibri Light Tur">
    <w:altName w:val="Calibri"/>
    <w:panose1 w:val="00000000000000000000"/>
    <w:charset w:val="A2"/>
    <w:family w:val="auto"/>
    <w:pitch w:val="default"/>
    <w:sig w:usb0="00000000" w:usb1="00000000" w:usb2="00000000" w:usb3="00000000" w:csb0="00000010" w:csb1="00000000"/>
  </w:font>
  <w:font w:name="Calibri Light Baltic">
    <w:altName w:val="Calibri"/>
    <w:panose1 w:val="00000000000000000000"/>
    <w:charset w:val="BA"/>
    <w:family w:val="auto"/>
    <w:pitch w:val="default"/>
    <w:sig w:usb0="00000000" w:usb1="00000000" w:usb2="00000000" w:usb3="00000000" w:csb0="00000080" w:csb1="00000000"/>
  </w:font>
  <w:font w:name="Calibri Light (Vietnamese)">
    <w:altName w:val="Calibri"/>
    <w:panose1 w:val="00000000000000000000"/>
    <w:charset w:val="A3"/>
    <w:family w:val="auto"/>
    <w:pitch w:val="default"/>
    <w:sig w:usb0="00000000" w:usb1="00000000" w:usb2="00000000" w:usb3="00000000" w:csb0="0000010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SimHei Western">
    <w:altName w:val="黑体"/>
    <w:panose1 w:val="00000000000000000000"/>
    <w:charset w:val="00"/>
    <w:family w:val="auto"/>
    <w:pitch w:val="default"/>
    <w:sig w:usb0="00000000" w:usb1="00000000" w:usb2="00000000" w:usb3="00000000" w:csb0="00000001" w:csb1="00000000"/>
  </w:font>
  <w:font w:name="STHeiti">
    <w:altName w:val="微软雅黑"/>
    <w:panose1 w:val="00000000000000000000"/>
    <w:charset w:val="01"/>
    <w:family w:val="auto"/>
    <w:pitch w:val="default"/>
    <w:sig w:usb0="00000000" w:usb1="00000000" w:usb2="00000000" w:usb3="00000000" w:csb0="00040001" w:csb1="00000000"/>
  </w:font>
  <w:font w:name="小标宋">
    <w:altName w:val="宋体"/>
    <w:panose1 w:val="03000509000000000000"/>
    <w:charset w:val="86"/>
    <w:family w:val="auto"/>
    <w:pitch w:val="default"/>
    <w:sig w:usb0="00000000" w:usb1="080E0000" w:usb2="00000010" w:usb3="00000000" w:csb0="00040000" w:csb1="00000000"/>
  </w:font>
  <w:font w:name="Bookman Old Style">
    <w:panose1 w:val="02050604050505020204"/>
    <w:charset w:val="00"/>
    <w:family w:val="auto"/>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方正仿宋简体">
    <w:altName w:val="黑体"/>
    <w:panose1 w:val="00000000000000000000"/>
    <w:charset w:val="86"/>
    <w:family w:val="auto"/>
    <w:pitch w:val="default"/>
    <w:sig w:usb0="00000001" w:usb1="080E0000" w:usb2="00000010" w:usb3="00000000" w:csb0="00040000" w:csb1="00000000"/>
  </w:font>
  <w:font w:name="Arial Black">
    <w:panose1 w:val="020B0A04020102020204"/>
    <w:charset w:val="00"/>
    <w:family w:val="auto"/>
    <w:pitch w:val="default"/>
    <w:sig w:usb0="00000287" w:usb1="00000000" w:usb2="00000000" w:usb3="00000000" w:csb0="2000009F" w:csb1="DFD70000"/>
  </w:font>
  <w:font w:name="MT Extra">
    <w:panose1 w:val="05050102010205020202"/>
    <w:charset w:val="02"/>
    <w:family w:val="auto"/>
    <w:pitch w:val="default"/>
    <w:sig w:usb0="80000000" w:usb1="00000000" w:usb2="00000000" w:usb3="00000000" w:csb0="00000000" w:csb1="00000000"/>
  </w:font>
  <w:font w:name="Verdana, Arial, 宋体">
    <w:altName w:val="宋体"/>
    <w:panose1 w:val="00000000000000000000"/>
    <w:charset w:val="86"/>
    <w:family w:val="auto"/>
    <w:pitch w:val="default"/>
    <w:sig w:usb0="00000001" w:usb1="080E0000" w:usb2="00000010" w:usb3="00000000" w:csb0="00040000" w:csb1="00000000"/>
  </w:font>
  <w:font w:name="??_GB2312">
    <w:altName w:val="Times New Roman"/>
    <w:panose1 w:val="00000000000000000000"/>
    <w:charset w:val="00"/>
    <w:family w:val="auto"/>
    <w:pitch w:val="default"/>
    <w:sig w:usb0="00000003" w:usb1="00000000" w:usb2="00000000" w:usb3="00000000" w:csb0="00000001" w:csb1="00000000"/>
  </w:font>
  <w:font w:name="长城小标宋体">
    <w:altName w:val="宋体"/>
    <w:panose1 w:val="02010609010101010101"/>
    <w:charset w:val="00"/>
    <w:family w:val="auto"/>
    <w:pitch w:val="default"/>
    <w:sig w:usb0="00000000" w:usb1="0000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瀹嬩綋">
    <w:altName w:val="微软雅黑"/>
    <w:panose1 w:val="00000000000000000000"/>
    <w:charset w:val="01"/>
    <w:family w:val="auto"/>
    <w:pitch w:val="default"/>
    <w:sig w:usb0="00000000" w:usb1="00000000" w:usb2="00000000" w:usb3="00000000" w:csb0="00040001" w:csb1="00000000"/>
  </w:font>
  <w:font w:name="¿¬Ìå Western">
    <w:altName w:val="Courier New"/>
    <w:panose1 w:val="00000000000000000000"/>
    <w:charset w:val="00"/>
    <w:family w:val="auto"/>
    <w:pitch w:val="default"/>
    <w:sig w:usb0="00000000"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方正姚体简体">
    <w:altName w:val="宋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穝灿砰">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rFonts w:hint="eastAsia"/>
        <w:lang w:val="en-US" w:eastAsia="zh-CN"/>
      </w:rPr>
    </w:pPr>
    <w:r>
      <w:rPr>
        <w:rFonts w:ascii="Calibri" w:hAnsi="Calibri" w:eastAsia="宋体" w:cs="Times New Roman"/>
        <w:kern w:val="2"/>
        <w:sz w:val="18"/>
        <w:szCs w:val="18"/>
        <w:lang w:val="en-US" w:eastAsia="zh-CN" w:bidi="ar-SA"/>
      </w:rPr>
      <w:pict>
        <v:rect id="文本框 2" o:spid="_x0000_s1025" style="position:absolute;left:0;margin-left:362.2pt;margin-top:-5.1pt;height:19.7pt;width:50.8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5"/>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eastAsia="zh-CN"/>
                  </w:rPr>
                  <w:t>—</w:t>
                </w:r>
                <w:r>
                  <w:rPr>
                    <w:rFonts w:hint="eastAsia" w:ascii="Times New Roman" w:hAnsi="Times New Roman" w:cs="Times New Roman"/>
                    <w:sz w:val="30"/>
                    <w:szCs w:val="30"/>
                    <w:lang w:eastAsia="zh-CN"/>
                  </w:rPr>
                  <w:fldChar w:fldCharType="begin"/>
                </w:r>
                <w:r>
                  <w:rPr>
                    <w:rFonts w:hint="eastAsia" w:ascii="Times New Roman" w:hAnsi="Times New Roman" w:cs="Times New Roman"/>
                    <w:sz w:val="30"/>
                    <w:szCs w:val="30"/>
                    <w:lang w:eastAsia="zh-CN"/>
                  </w:rPr>
                  <w:instrText xml:space="preserve"> PAGE  \* MERGEFORMAT </w:instrText>
                </w:r>
                <w:r>
                  <w:rPr>
                    <w:rFonts w:hint="eastAsia" w:ascii="Times New Roman" w:hAnsi="Times New Roman" w:cs="Times New Roman"/>
                    <w:sz w:val="30"/>
                    <w:szCs w:val="30"/>
                    <w:lang w:eastAsia="zh-CN"/>
                  </w:rPr>
                  <w:fldChar w:fldCharType="separate"/>
                </w:r>
                <w:r>
                  <w:t>1</w:t>
                </w:r>
                <w:r>
                  <w:rPr>
                    <w:rFonts w:hint="eastAsia" w:ascii="Times New Roman" w:hAnsi="Times New Roman" w:cs="Times New Roman"/>
                    <w:sz w:val="30"/>
                    <w:szCs w:val="30"/>
                    <w:lang w:eastAsia="zh-CN"/>
                  </w:rPr>
                  <w:fldChar w:fldCharType="end"/>
                </w:r>
                <w:r>
                  <w:rPr>
                    <w:rFonts w:hint="eastAsia" w:ascii="Times New Roman" w:hAnsi="Times New Roman" w:cs="Times New Roman"/>
                    <w:sz w:val="30"/>
                    <w:szCs w:val="30"/>
                    <w:lang w:eastAsia="zh-CN"/>
                  </w:rPr>
                  <w:t>—</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Times New Roman"/>
        <w:kern w:val="2"/>
        <w:sz w:val="18"/>
        <w:szCs w:val="18"/>
        <w:lang w:val="en-US" w:eastAsia="zh-CN" w:bidi="ar-SA"/>
      </w:rPr>
      <w:pict>
        <v:shape id="文本框3" o:spid="_x0000_s1026" type="#_x0000_t202" style="position:absolute;left:0;margin-left:0.6pt;margin-top:-8pt;height:23.85pt;width:61.3pt;mso-position-horizontal-relative:margin;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default" w:ascii="Times New Roman" w:hAnsi="Times New Roman" w:eastAsia="宋体" w:cs="Times New Roman"/>
                    <w:sz w:val="30"/>
                    <w:szCs w:val="30"/>
                    <w:lang w:eastAsia="zh-CN"/>
                  </w:rPr>
                </w:pPr>
                <w:r>
                  <w:rPr>
                    <w:rFonts w:hint="eastAsia" w:ascii="Times New Roman" w:hAnsi="Times New Roman" w:cs="Times New Roman"/>
                    <w:sz w:val="30"/>
                    <w:szCs w:val="30"/>
                    <w:lang w:val="en-US" w:eastAsia="zh-CN"/>
                  </w:rPr>
                  <w:t xml:space="preserve">  </w:t>
                </w:r>
                <w:r>
                  <w:rPr>
                    <w:rFonts w:hint="default" w:ascii="Times New Roman" w:hAnsi="Times New Roman" w:cs="Times New Roman"/>
                    <w:sz w:val="30"/>
                    <w:szCs w:val="30"/>
                    <w:lang w:eastAsia="zh-CN"/>
                  </w:rPr>
                  <w:t>—</w:t>
                </w:r>
                <w:r>
                  <w:rPr>
                    <w:rFonts w:hint="default" w:ascii="Times New Roman" w:hAnsi="Times New Roman" w:cs="Times New Roman"/>
                    <w:sz w:val="30"/>
                    <w:szCs w:val="30"/>
                    <w:lang w:eastAsia="zh-CN"/>
                  </w:rPr>
                  <w:fldChar w:fldCharType="begin"/>
                </w:r>
                <w:r>
                  <w:rPr>
                    <w:rFonts w:hint="default" w:ascii="Times New Roman" w:hAnsi="Times New Roman" w:cs="Times New Roman"/>
                    <w:sz w:val="30"/>
                    <w:szCs w:val="30"/>
                    <w:lang w:eastAsia="zh-CN"/>
                  </w:rPr>
                  <w:instrText xml:space="preserve"> PAGE  \* MERGEFORMAT </w:instrText>
                </w:r>
                <w:r>
                  <w:rPr>
                    <w:rFonts w:hint="default" w:ascii="Times New Roman" w:hAnsi="Times New Roman" w:cs="Times New Roman"/>
                    <w:sz w:val="30"/>
                    <w:szCs w:val="30"/>
                    <w:lang w:eastAsia="zh-CN"/>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lang w:eastAsia="zh-CN"/>
                  </w:rPr>
                  <w:fldChar w:fldCharType="end"/>
                </w:r>
                <w:r>
                  <w:rPr>
                    <w:rFonts w:hint="default" w:ascii="Times New Roman" w:hAnsi="Times New Roman" w:cs="Times New Roman"/>
                    <w:sz w:val="30"/>
                    <w:szCs w:val="30"/>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7">
    <w:name w:val="Default Paragraph Font"/>
    <w:semiHidden/>
    <w:uiPriority w:val="0"/>
  </w:style>
  <w:style w:type="paragraph" w:styleId="3">
    <w:name w:val="Body Text First Indent"/>
    <w:basedOn w:val="4"/>
    <w:uiPriority w:val="0"/>
    <w:pPr>
      <w:ind w:firstLine="420" w:firstLineChars="100"/>
    </w:pPr>
    <w:rPr>
      <w:kern w:val="0"/>
      <w:sz w:val="20"/>
      <w:szCs w:val="20"/>
    </w:rPr>
  </w:style>
  <w:style w:type="paragraph" w:styleId="4">
    <w:name w:val="Body Text"/>
    <w:basedOn w:val="1"/>
    <w:uiPriority w:val="0"/>
    <w:pPr>
      <w:spacing w:line="540" w:lineRule="exact"/>
    </w:pPr>
    <w:rPr>
      <w:sz w:val="32"/>
      <w:szCs w:val="28"/>
    </w:rPr>
  </w:style>
  <w:style w:type="paragraph" w:styleId="5">
    <w:name w:val="footer"/>
    <w:basedOn w:val="1"/>
    <w:uiPriority w:val="0"/>
    <w:pPr>
      <w:tabs>
        <w:tab w:val="center" w:pos="4153"/>
        <w:tab w:val="right" w:pos="8306"/>
      </w:tabs>
      <w:snapToGrid w:val="0"/>
      <w:jc w:val="left"/>
    </w:pPr>
    <w:rPr>
      <w:rFonts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image" Target="media/image1.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2021-04-15T03:29:00Z</dcterms:created>
  <dc:creator>Administrator</dc:creator>
  <cp:lastModifiedBy>jjhh</cp:lastModifiedBy>
  <dcterms:modified xsi:type="dcterms:W3CDTF">2022-05-18T02:55:58Z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